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475E" w:rsidRDefault="000C5A19">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w:eastAsia="Century" w:hAnsi="Century" w:cs="Century" w:hint="default"/>
          <w:b/>
          <w:bCs/>
          <w:sz w:val="32"/>
          <w:szCs w:val="32"/>
          <w:u w:color="000000"/>
        </w:rPr>
      </w:pPr>
      <w:r>
        <w:rPr>
          <w:sz w:val="44"/>
          <w:szCs w:val="44"/>
        </w:rPr>
        <w:t xml:space="preserve">　　　　　　　盲点を探そう</w:t>
      </w:r>
    </w:p>
    <w:p w:rsidR="007B475E" w:rsidRDefault="000C5A19">
      <w:pPr>
        <w:pStyle w:val="a8"/>
      </w:pPr>
      <w:r>
        <w:rPr>
          <w:lang w:val="ja-JP"/>
        </w:rPr>
        <w:t>6月11日</w:t>
      </w:r>
      <w:r>
        <w:t xml:space="preserve"> </w:t>
      </w:r>
      <w:r>
        <w:rPr>
          <w:lang w:val="ja-JP"/>
        </w:rPr>
        <w:t>実施</w:t>
      </w:r>
    </w:p>
    <w:p w:rsidR="007B475E" w:rsidRDefault="000C5A19">
      <w:pPr>
        <w:pStyle w:val="a8"/>
      </w:pPr>
      <w:r>
        <w:t>D</w:t>
      </w:r>
      <w:r>
        <w:rPr>
          <w:lang w:val="ja-JP"/>
        </w:rPr>
        <w:t>班</w:t>
      </w:r>
      <w:r>
        <w:t xml:space="preserve"> 谷平 貴幸,  倉田 亮輔,  </w:t>
      </w:r>
    </w:p>
    <w:p w:rsidR="007B475E" w:rsidRPr="00294AA2" w:rsidRDefault="007B475E">
      <w:pPr>
        <w:jc w:val="right"/>
        <w:rPr>
          <w:rFonts w:eastAsiaTheme="minorEastAsia"/>
          <w:b/>
          <w:bCs/>
          <w:lang w:eastAsia="ja-JP"/>
        </w:rPr>
      </w:pPr>
    </w:p>
    <w:p w:rsidR="007B475E" w:rsidRDefault="000C5A19">
      <w:pPr>
        <w:rPr>
          <w:lang w:val="ja-JP" w:eastAsia="ja-JP"/>
        </w:rPr>
      </w:pPr>
      <w:r>
        <w:rPr>
          <w:b/>
          <w:bCs/>
          <w:sz w:val="28"/>
          <w:szCs w:val="28"/>
          <w:lang w:eastAsia="ja-JP"/>
        </w:rPr>
        <w:t>1</w:t>
      </w:r>
      <w:r>
        <w:rPr>
          <w:b/>
          <w:bCs/>
          <w:sz w:val="28"/>
          <w:szCs w:val="28"/>
          <w:lang w:val="ja-JP" w:eastAsia="ja-JP"/>
        </w:rPr>
        <w:t>．目標</w:t>
      </w:r>
      <w:bookmarkStart w:id="0" w:name="_GoBack"/>
      <w:bookmarkEnd w:id="0"/>
    </w:p>
    <w:p w:rsidR="007B475E" w:rsidRDefault="000C5A19">
      <w:pPr>
        <w:ind w:firstLine="240"/>
        <w:rPr>
          <w:lang w:eastAsia="ja-JP"/>
        </w:rPr>
      </w:pPr>
      <w:r>
        <w:rPr>
          <w:lang w:val="ja-JP" w:eastAsia="ja-JP"/>
        </w:rPr>
        <w:t>普段の生活であまり気づくことのできない、人間の目にある盲点。この盲点を、線と点を使った簡単な実験を行うことで見つけ、また、盲点が出来る理由から人間の目の仕組みや構造についての理解を深める。</w:t>
      </w:r>
    </w:p>
    <w:p w:rsidR="007B475E" w:rsidRDefault="007B475E">
      <w:pPr>
        <w:ind w:firstLine="240"/>
        <w:rPr>
          <w:sz w:val="26"/>
          <w:szCs w:val="26"/>
          <w:lang w:eastAsia="ja-JP"/>
        </w:rPr>
      </w:pPr>
    </w:p>
    <w:p w:rsidR="007B475E" w:rsidRDefault="000C5A19">
      <w:pPr>
        <w:rPr>
          <w:lang w:val="ja-JP" w:eastAsia="ja-JP"/>
        </w:rPr>
      </w:pPr>
      <w:r>
        <w:rPr>
          <w:b/>
          <w:bCs/>
          <w:sz w:val="28"/>
          <w:szCs w:val="28"/>
          <w:lang w:eastAsia="ja-JP"/>
        </w:rPr>
        <w:t>2</w:t>
      </w:r>
      <w:r>
        <w:rPr>
          <w:b/>
          <w:bCs/>
          <w:sz w:val="28"/>
          <w:szCs w:val="28"/>
          <w:lang w:val="ja-JP" w:eastAsia="ja-JP"/>
        </w:rPr>
        <w:t>．原理</w:t>
      </w:r>
    </w:p>
    <w:p w:rsidR="007B475E" w:rsidRDefault="000C5A19">
      <w:pPr>
        <w:ind w:firstLine="210"/>
        <w:rPr>
          <w:lang w:eastAsia="ja-JP"/>
        </w:rPr>
      </w:pPr>
      <w:r>
        <w:rPr>
          <w:lang w:val="ja-JP" w:eastAsia="ja-JP"/>
        </w:rPr>
        <w:t>盲点とは、人間の目の構造上、生理的に存在する視野の中の見えない部分のことである。人間は目の中にある網膜で光を受け取り、脳に情報として送る。しかし、網膜にある視神経乳頭の部分では光を受け取ることが出来ないため、見えない点が存在する。</w:t>
      </w:r>
    </w:p>
    <w:p w:rsidR="007B475E" w:rsidRDefault="000C5A19">
      <w:pPr>
        <w:rPr>
          <w:sz w:val="26"/>
          <w:szCs w:val="26"/>
          <w:lang w:eastAsia="ja-JP"/>
        </w:rPr>
      </w:pPr>
      <w:r>
        <w:rPr>
          <w:sz w:val="26"/>
          <w:szCs w:val="26"/>
          <w:lang w:val="ja-JP" w:eastAsia="ja-JP"/>
        </w:rPr>
        <w:t xml:space="preserve">　</w:t>
      </w:r>
    </w:p>
    <w:p w:rsidR="007B475E" w:rsidRDefault="000C5A19">
      <w:pPr>
        <w:rPr>
          <w:lang w:eastAsia="ja-JP"/>
        </w:rPr>
      </w:pPr>
      <w:r>
        <w:rPr>
          <w:b/>
          <w:bCs/>
          <w:sz w:val="28"/>
          <w:szCs w:val="28"/>
          <w:lang w:eastAsia="ja-JP"/>
        </w:rPr>
        <w:t>3</w:t>
      </w:r>
      <w:r>
        <w:rPr>
          <w:b/>
          <w:bCs/>
          <w:sz w:val="28"/>
          <w:szCs w:val="28"/>
          <w:lang w:val="ja-JP" w:eastAsia="ja-JP"/>
        </w:rPr>
        <w:t>．実験</w:t>
      </w:r>
    </w:p>
    <w:p w:rsidR="007B475E" w:rsidRDefault="000C5A19">
      <w:pPr>
        <w:rPr>
          <w:b/>
          <w:bCs/>
          <w:lang w:eastAsia="ja-JP"/>
        </w:rPr>
      </w:pPr>
      <w:r>
        <w:rPr>
          <w:lang w:val="ja-JP" w:eastAsia="ja-JP"/>
        </w:rPr>
        <w:t xml:space="preserve">　今回の模擬授業では生徒それぞれに、縦が1センチ、横が10センチ程度の長方形をノートに作り、この長方形内の左端に丸を、右端にバツの印を書いてもらった、本実験はこの図を用いて行った。まず右目を閉じて左目だけで図のバツ印を見る。バツ印を見ながらノートを近づけていくと、丸印が視界から消える瞬間がある。さらに近づけていくと、また丸印が見えてくることから盲点を確認する。　</w:t>
      </w:r>
    </w:p>
    <w:p w:rsidR="007B475E" w:rsidRDefault="000C5A19">
      <w:pPr>
        <w:rPr>
          <w:lang w:eastAsia="ja-JP"/>
        </w:rPr>
      </w:pPr>
      <w:r>
        <w:rPr>
          <w:b/>
          <w:bCs/>
          <w:lang w:val="ja-JP" w:eastAsia="ja-JP"/>
        </w:rPr>
        <w:t>・用意するもの</w:t>
      </w:r>
    </w:p>
    <w:p w:rsidR="007B475E" w:rsidRDefault="000C5A19">
      <w:pPr>
        <w:rPr>
          <w:lang w:eastAsia="ja-JP"/>
        </w:rPr>
      </w:pPr>
      <w:r>
        <w:rPr>
          <w:lang w:val="ja-JP" w:eastAsia="ja-JP"/>
        </w:rPr>
        <w:t xml:space="preserve">　ノート、鉛筆</w:t>
      </w:r>
    </w:p>
    <w:p w:rsidR="007B475E" w:rsidRDefault="000C5A19">
      <w:pPr>
        <w:ind w:firstLine="211"/>
      </w:pPr>
      <w:r>
        <w:rPr>
          <w:b/>
          <w:bCs/>
        </w:rPr>
        <w:t>1</w:t>
      </w:r>
      <w:r>
        <w:rPr>
          <w:b/>
          <w:bCs/>
          <w:lang w:val="ja-JP" w:eastAsia="ja-JP"/>
        </w:rPr>
        <w:t>班合計</w:t>
      </w:r>
      <w:r>
        <w:rPr>
          <w:rFonts w:hAnsi="Times Roman"/>
        </w:rPr>
        <w:t>…</w:t>
      </w:r>
      <w:r>
        <w:rPr>
          <w:rFonts w:ascii="Times Roman"/>
        </w:rPr>
        <w:t>0</w:t>
      </w:r>
      <w:r>
        <w:rPr>
          <w:lang w:val="ja-JP" w:eastAsia="ja-JP"/>
        </w:rPr>
        <w:t>円</w:t>
      </w:r>
    </w:p>
    <w:p w:rsidR="007B475E" w:rsidRDefault="000C5A19">
      <w:r>
        <w:rPr>
          <w:lang w:val="ja-JP" w:eastAsia="ja-JP"/>
        </w:rPr>
        <w:t xml:space="preserve">　</w:t>
      </w:r>
      <w:r>
        <w:rPr>
          <w:b/>
          <w:bCs/>
        </w:rPr>
        <w:t>40</w:t>
      </w:r>
      <w:r>
        <w:rPr>
          <w:b/>
          <w:bCs/>
          <w:lang w:val="ja-JP" w:eastAsia="ja-JP"/>
        </w:rPr>
        <w:t>人学級</w:t>
      </w:r>
      <w:r>
        <w:t>…0</w:t>
      </w:r>
      <w:r>
        <w:rPr>
          <w:lang w:val="ja-JP" w:eastAsia="ja-JP"/>
        </w:rPr>
        <w:t>円</w:t>
      </w:r>
    </w:p>
    <w:p w:rsidR="007B475E" w:rsidRDefault="007B475E">
      <w:pPr>
        <w:pStyle w:val="a9"/>
        <w:ind w:left="615"/>
      </w:pPr>
    </w:p>
    <w:p w:rsidR="007B475E" w:rsidRDefault="000C5A19">
      <w:pPr>
        <w:rPr>
          <w:b/>
          <w:bCs/>
          <w:lang w:eastAsia="ja-JP"/>
        </w:rPr>
      </w:pPr>
      <w:r>
        <w:rPr>
          <w:b/>
          <w:bCs/>
          <w:lang w:val="ja-JP" w:eastAsia="ja-JP"/>
        </w:rPr>
        <w:t>・実験手順</w:t>
      </w:r>
    </w:p>
    <w:p w:rsidR="007B475E" w:rsidRDefault="000C5A19">
      <w:pPr>
        <w:rPr>
          <w:lang w:eastAsia="ja-JP"/>
        </w:rPr>
      </w:pPr>
      <w:r>
        <w:rPr>
          <w:lang w:val="ja-JP" w:eastAsia="ja-JP"/>
        </w:rPr>
        <w:t xml:space="preserve">　生徒が行った実験手順は以下の通りである。</w:t>
      </w:r>
    </w:p>
    <w:p w:rsidR="007B475E" w:rsidRDefault="000C5A19">
      <w:pPr>
        <w:pStyle w:val="a9"/>
        <w:numPr>
          <w:ilvl w:val="0"/>
          <w:numId w:val="3"/>
        </w:numPr>
        <w:tabs>
          <w:tab w:val="num" w:pos="615"/>
        </w:tabs>
        <w:ind w:left="615" w:hanging="360"/>
      </w:pPr>
      <w:r>
        <w:rPr>
          <w:rFonts w:eastAsia="Times Roman" w:hint="eastAsia"/>
        </w:rPr>
        <w:t>ノートに縦が１センチ、横が１０センチ程度の長方形を</w:t>
      </w:r>
      <w:r>
        <w:rPr>
          <w:rFonts w:eastAsia="Times Roman" w:hint="eastAsia"/>
          <w:lang w:val="ja-JP"/>
        </w:rPr>
        <w:t>ノートに作り、この長方形内の左端に丸を、右端にバツの印を書く</w:t>
      </w:r>
      <w:r>
        <w:rPr>
          <w:lang w:val="ja-JP"/>
        </w:rPr>
        <w:t>。</w:t>
      </w:r>
    </w:p>
    <w:p w:rsidR="007B475E" w:rsidRDefault="000C5A19">
      <w:pPr>
        <w:pStyle w:val="a9"/>
        <w:numPr>
          <w:ilvl w:val="0"/>
          <w:numId w:val="3"/>
        </w:numPr>
        <w:tabs>
          <w:tab w:val="num" w:pos="615"/>
        </w:tabs>
        <w:ind w:left="615" w:hanging="360"/>
      </w:pPr>
      <w:r>
        <w:rPr>
          <w:rFonts w:eastAsia="Times Roman" w:hint="eastAsia"/>
          <w:lang w:val="ja-JP"/>
        </w:rPr>
        <w:t>長方形内の左端に丸の印、右端にバツの印を書く</w:t>
      </w:r>
      <w:r>
        <w:rPr>
          <w:lang w:val="ja-JP"/>
        </w:rPr>
        <w:t>。</w:t>
      </w:r>
    </w:p>
    <w:p w:rsidR="007B475E" w:rsidRDefault="000C5A19">
      <w:pPr>
        <w:pStyle w:val="a9"/>
        <w:numPr>
          <w:ilvl w:val="0"/>
          <w:numId w:val="3"/>
        </w:numPr>
        <w:tabs>
          <w:tab w:val="num" w:pos="615"/>
        </w:tabs>
        <w:ind w:left="615" w:hanging="360"/>
        <w:rPr>
          <w:lang w:val="ja-JP"/>
        </w:rPr>
      </w:pPr>
      <w:r>
        <w:rPr>
          <w:rFonts w:eastAsia="Times Roman" w:hint="eastAsia"/>
          <w:lang w:val="ja-JP"/>
        </w:rPr>
        <w:t>右目を閉じて左目だけで図のバツ印を見る</w:t>
      </w:r>
      <w:r>
        <w:rPr>
          <w:lang w:val="ja-JP"/>
        </w:rPr>
        <w:t>。</w:t>
      </w:r>
    </w:p>
    <w:p w:rsidR="007B475E" w:rsidRDefault="000C5A19">
      <w:pPr>
        <w:pStyle w:val="a9"/>
        <w:numPr>
          <w:ilvl w:val="0"/>
          <w:numId w:val="3"/>
        </w:numPr>
        <w:tabs>
          <w:tab w:val="num" w:pos="615"/>
        </w:tabs>
        <w:ind w:left="615" w:hanging="360"/>
      </w:pPr>
      <w:r>
        <w:rPr>
          <w:rFonts w:eastAsia="Times Roman" w:hint="eastAsia"/>
          <w:lang w:val="ja-JP"/>
        </w:rPr>
        <w:t>バツ印を見ながらノートを近づけていき、丸印が視界から消える瞬間を確認する</w:t>
      </w:r>
      <w:r>
        <w:rPr>
          <w:lang w:val="ja-JP"/>
        </w:rPr>
        <w:t>。</w:t>
      </w:r>
    </w:p>
    <w:p w:rsidR="007B475E" w:rsidRDefault="000C5A19">
      <w:pPr>
        <w:rPr>
          <w:lang w:eastAsia="ja-JP"/>
        </w:rPr>
      </w:pPr>
      <w:r>
        <w:rPr>
          <w:b/>
          <w:bCs/>
          <w:lang w:val="ja-JP" w:eastAsia="ja-JP"/>
        </w:rPr>
        <w:t>・実験結果</w:t>
      </w:r>
    </w:p>
    <w:p w:rsidR="007B475E" w:rsidRDefault="000C5A19" w:rsidP="00294AA2">
      <w:pPr>
        <w:ind w:firstLine="210"/>
        <w:rPr>
          <w:rFonts w:eastAsiaTheme="minorEastAsia"/>
          <w:lang w:eastAsia="ja-JP"/>
        </w:rPr>
      </w:pPr>
      <w:r>
        <w:rPr>
          <w:rFonts w:eastAsia="Times Roman" w:hint="eastAsia"/>
          <w:lang w:eastAsia="ja-JP"/>
        </w:rPr>
        <w:t>実際に実験を始めると、個人差はあったが、だいたいの生徒が、図と顔の距離が２０〜３０センチの距離で盲点を確認した。しかし、盲点を確認できない生徒もいた。これは実験方法を誤ったまま行ったことが考えられるが、これは生徒が誤って理解しないように丁寧に説明する必要がある。</w:t>
      </w:r>
    </w:p>
    <w:p w:rsidR="00294AA2" w:rsidRDefault="00294AA2" w:rsidP="00294AA2">
      <w:pPr>
        <w:ind w:firstLine="210"/>
        <w:rPr>
          <w:rFonts w:eastAsiaTheme="minorEastAsia"/>
          <w:lang w:eastAsia="ja-JP"/>
        </w:rPr>
      </w:pPr>
    </w:p>
    <w:p w:rsidR="001D76F7" w:rsidRPr="00294AA2" w:rsidRDefault="001D76F7" w:rsidP="001D76F7">
      <w:pPr>
        <w:ind w:firstLine="210"/>
        <w:jc w:val="left"/>
        <w:rPr>
          <w:rFonts w:eastAsiaTheme="minorEastAsia"/>
          <w:lang w:eastAsia="ja-JP"/>
        </w:rPr>
      </w:pPr>
      <w:r>
        <w:rPr>
          <w:b/>
          <w:bCs/>
          <w:sz w:val="28"/>
          <w:szCs w:val="28"/>
          <w:lang w:eastAsia="ja-JP"/>
        </w:rPr>
        <w:t>4</w:t>
      </w:r>
      <w:r>
        <w:rPr>
          <w:b/>
          <w:bCs/>
          <w:sz w:val="28"/>
          <w:szCs w:val="28"/>
          <w:lang w:val="ja-JP" w:eastAsia="ja-JP"/>
        </w:rPr>
        <w:t>．板書と授業風景</w:t>
      </w:r>
    </w:p>
    <w:p w:rsidR="00294AA2" w:rsidRDefault="00294AA2" w:rsidP="00294AA2">
      <w:pPr>
        <w:ind w:firstLine="210"/>
        <w:rPr>
          <w:rFonts w:eastAsiaTheme="minorEastAsia"/>
          <w:lang w:eastAsia="ja-JP"/>
        </w:rPr>
      </w:pPr>
    </w:p>
    <w:p w:rsidR="00294AA2" w:rsidRDefault="00294AA2" w:rsidP="00294AA2">
      <w:pPr>
        <w:ind w:firstLine="210"/>
        <w:rPr>
          <w:rFonts w:eastAsiaTheme="minorEastAsia"/>
          <w:lang w:eastAsia="ja-JP"/>
        </w:rPr>
      </w:pPr>
    </w:p>
    <w:p w:rsidR="00294AA2" w:rsidRDefault="00294AA2" w:rsidP="00294AA2">
      <w:pPr>
        <w:ind w:firstLine="210"/>
        <w:rPr>
          <w:rFonts w:eastAsiaTheme="minorEastAsia"/>
          <w:lang w:eastAsia="ja-JP"/>
        </w:rPr>
      </w:pPr>
    </w:p>
    <w:p w:rsidR="00294AA2" w:rsidRDefault="00294AA2" w:rsidP="00294AA2">
      <w:pPr>
        <w:ind w:firstLine="210"/>
        <w:rPr>
          <w:rFonts w:eastAsiaTheme="minorEastAsia"/>
          <w:lang w:eastAsia="ja-JP"/>
        </w:rPr>
      </w:pPr>
    </w:p>
    <w:p w:rsidR="001D76F7" w:rsidRDefault="001D76F7" w:rsidP="001D76F7">
      <w:pPr>
        <w:ind w:firstLine="210"/>
        <w:jc w:val="center"/>
        <w:rPr>
          <w:rFonts w:eastAsiaTheme="minorEastAsia" w:hint="eastAsia"/>
          <w:b/>
          <w:bCs/>
          <w:sz w:val="28"/>
          <w:szCs w:val="28"/>
          <w:lang w:eastAsia="ja-JP"/>
        </w:rPr>
      </w:pPr>
      <w:r>
        <w:rPr>
          <w:b/>
          <w:bCs/>
          <w:noProof/>
          <w:sz w:val="28"/>
          <w:szCs w:val="28"/>
          <w:lang w:eastAsia="ja-JP"/>
        </w:rPr>
        <w:lastRenderedPageBreak/>
        <w:drawing>
          <wp:inline distT="0" distB="0" distL="0" distR="0">
            <wp:extent cx="3629025" cy="2428875"/>
            <wp:effectExtent l="0" t="0" r="0" b="9525"/>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G_5884.jpeg"/>
                    <pic:cNvPicPr/>
                  </pic:nvPicPr>
                  <pic:blipFill rotWithShape="1">
                    <a:blip r:embed="rId8" cstate="print">
                      <a:extLst>
                        <a:ext uri="{28A0092B-C50C-407E-A947-70E740481C1C}">
                          <a14:useLocalDpi xmlns:a14="http://schemas.microsoft.com/office/drawing/2010/main" val="0"/>
                        </a:ext>
                      </a:extLst>
                    </a:blip>
                    <a:srcRect l="10316" t="16933" r="43699" b="37082"/>
                    <a:stretch/>
                  </pic:blipFill>
                  <pic:spPr bwMode="auto">
                    <a:xfrm>
                      <a:off x="0" y="0"/>
                      <a:ext cx="3629105" cy="2428929"/>
                    </a:xfrm>
                    <a:prstGeom prst="rect">
                      <a:avLst/>
                    </a:prstGeom>
                    <a:ln>
                      <a:noFill/>
                    </a:ln>
                    <a:effectLst/>
                    <a:extLst>
                      <a:ext uri="{53640926-AAD7-44D8-BBD7-CCE9431645EC}">
                        <a14:shadowObscured xmlns:a14="http://schemas.microsoft.com/office/drawing/2010/main"/>
                      </a:ext>
                    </a:extLst>
                  </pic:spPr>
                </pic:pic>
              </a:graphicData>
            </a:graphic>
          </wp:inline>
        </w:drawing>
      </w:r>
    </w:p>
    <w:p w:rsidR="001D76F7" w:rsidRDefault="001D76F7" w:rsidP="001D76F7">
      <w:pPr>
        <w:ind w:firstLine="210"/>
        <w:jc w:val="center"/>
        <w:rPr>
          <w:rFonts w:eastAsiaTheme="minorEastAsia" w:hint="eastAsia"/>
          <w:b/>
          <w:bCs/>
          <w:sz w:val="28"/>
          <w:szCs w:val="28"/>
          <w:lang w:eastAsia="ja-JP"/>
        </w:rPr>
      </w:pPr>
    </w:p>
    <w:p w:rsidR="001D76F7" w:rsidRDefault="001D76F7" w:rsidP="001D76F7">
      <w:pPr>
        <w:jc w:val="center"/>
        <w:rPr>
          <w:rFonts w:eastAsiaTheme="minorEastAsia" w:hint="eastAsia"/>
          <w:lang w:eastAsia="ja-JP"/>
        </w:rPr>
      </w:pPr>
      <w:r>
        <w:rPr>
          <w:noProof/>
          <w:lang w:eastAsia="ja-JP"/>
        </w:rPr>
        <w:drawing>
          <wp:inline distT="0" distB="0" distL="0" distR="0">
            <wp:extent cx="3514725" cy="1762125"/>
            <wp:effectExtent l="0" t="0" r="9525" b="9525"/>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G_5885.jpeg"/>
                    <pic:cNvPicPr/>
                  </pic:nvPicPr>
                  <pic:blipFill rotWithShape="1">
                    <a:blip r:embed="rId9" cstate="print">
                      <a:extLst>
                        <a:ext uri="{28A0092B-C50C-407E-A947-70E740481C1C}">
                          <a14:useLocalDpi xmlns:a14="http://schemas.microsoft.com/office/drawing/2010/main" val="0"/>
                        </a:ext>
                      </a:extLst>
                    </a:blip>
                    <a:srcRect t="9412" r="28168" b="45176"/>
                    <a:stretch/>
                  </pic:blipFill>
                  <pic:spPr bwMode="auto">
                    <a:xfrm>
                      <a:off x="0" y="0"/>
                      <a:ext cx="3515098" cy="1762312"/>
                    </a:xfrm>
                    <a:prstGeom prst="rect">
                      <a:avLst/>
                    </a:prstGeom>
                    <a:ln>
                      <a:noFill/>
                    </a:ln>
                    <a:effectLst/>
                    <a:extLst>
                      <a:ext uri="{53640926-AAD7-44D8-BBD7-CCE9431645EC}">
                        <a14:shadowObscured xmlns:a14="http://schemas.microsoft.com/office/drawing/2010/main"/>
                      </a:ext>
                    </a:extLst>
                  </pic:spPr>
                </pic:pic>
              </a:graphicData>
            </a:graphic>
          </wp:inline>
        </w:drawing>
      </w:r>
    </w:p>
    <w:p w:rsidR="001D76F7" w:rsidRDefault="001D76F7">
      <w:pPr>
        <w:jc w:val="left"/>
        <w:rPr>
          <w:rFonts w:eastAsiaTheme="minorEastAsia" w:hint="eastAsia"/>
          <w:lang w:eastAsia="ja-JP"/>
        </w:rPr>
      </w:pPr>
    </w:p>
    <w:p w:rsidR="001D76F7" w:rsidRDefault="001D76F7" w:rsidP="001D76F7">
      <w:pPr>
        <w:jc w:val="center"/>
        <w:rPr>
          <w:rFonts w:eastAsiaTheme="minorEastAsia" w:hint="eastAsia"/>
          <w:lang w:eastAsia="ja-JP"/>
        </w:rPr>
      </w:pPr>
      <w:r>
        <w:rPr>
          <w:b/>
          <w:bCs/>
          <w:noProof/>
          <w:sz w:val="28"/>
          <w:szCs w:val="28"/>
          <w:lang w:eastAsia="ja-JP"/>
        </w:rPr>
        <w:drawing>
          <wp:inline distT="0" distB="0" distL="0" distR="0" wp14:anchorId="77BBAB27" wp14:editId="75A1E6A9">
            <wp:extent cx="3571874" cy="2657475"/>
            <wp:effectExtent l="0" t="0" r="0" b="0"/>
            <wp:docPr id="1" name="officeArt object"/>
            <wp:cNvGraphicFramePr/>
            <a:graphic xmlns:a="http://schemas.openxmlformats.org/drawingml/2006/main">
              <a:graphicData uri="http://schemas.openxmlformats.org/drawingml/2006/picture">
                <pic:pic xmlns:pic="http://schemas.openxmlformats.org/drawingml/2006/picture">
                  <pic:nvPicPr>
                    <pic:cNvPr id="1073741826" name="IMG_5884.JPG"/>
                    <pic:cNvPicPr/>
                  </pic:nvPicPr>
                  <pic:blipFill rotWithShape="1">
                    <a:blip r:embed="rId10" cstate="print">
                      <a:extLst>
                        <a:ext uri="{28A0092B-C50C-407E-A947-70E740481C1C}">
                          <a14:useLocalDpi xmlns:a14="http://schemas.microsoft.com/office/drawing/2010/main" val="0"/>
                        </a:ext>
                      </a:extLst>
                    </a:blip>
                    <a:srcRect l="10588" t="15529" r="43706" b="36941"/>
                    <a:stretch/>
                  </pic:blipFill>
                  <pic:spPr bwMode="auto">
                    <a:xfrm>
                      <a:off x="0" y="0"/>
                      <a:ext cx="3572152" cy="2657682"/>
                    </a:xfrm>
                    <a:prstGeom prst="rect">
                      <a:avLst/>
                    </a:prstGeom>
                    <a:ln>
                      <a:noFill/>
                    </a:ln>
                    <a:effectLst/>
                    <a:extLst>
                      <a:ext uri="{53640926-AAD7-44D8-BBD7-CCE9431645EC}">
                        <a14:shadowObscured xmlns:a14="http://schemas.microsoft.com/office/drawing/2010/main"/>
                      </a:ext>
                    </a:extLst>
                  </pic:spPr>
                </pic:pic>
              </a:graphicData>
            </a:graphic>
          </wp:inline>
        </w:drawing>
      </w:r>
    </w:p>
    <w:p w:rsidR="007B475E" w:rsidRDefault="007B475E">
      <w:pPr>
        <w:jc w:val="left"/>
        <w:rPr>
          <w:rFonts w:eastAsiaTheme="minorEastAsia" w:hint="eastAsia"/>
          <w:lang w:eastAsia="ja-JP"/>
        </w:rPr>
      </w:pPr>
    </w:p>
    <w:p w:rsidR="001D76F7" w:rsidRPr="00294AA2" w:rsidRDefault="001D76F7">
      <w:pPr>
        <w:jc w:val="left"/>
        <w:rPr>
          <w:rFonts w:eastAsiaTheme="minorEastAsia"/>
          <w:lang w:eastAsia="ja-JP"/>
        </w:rPr>
      </w:pPr>
    </w:p>
    <w:p w:rsidR="007B475E" w:rsidRDefault="000C5A19">
      <w:pPr>
        <w:rPr>
          <w:b/>
          <w:bCs/>
          <w:sz w:val="26"/>
          <w:szCs w:val="26"/>
          <w:lang w:eastAsia="ja-JP"/>
        </w:rPr>
      </w:pPr>
      <w:r>
        <w:rPr>
          <w:b/>
          <w:bCs/>
          <w:sz w:val="28"/>
          <w:szCs w:val="28"/>
          <w:lang w:eastAsia="ja-JP"/>
        </w:rPr>
        <w:t>5</w:t>
      </w:r>
      <w:r>
        <w:rPr>
          <w:b/>
          <w:bCs/>
          <w:sz w:val="28"/>
          <w:szCs w:val="28"/>
          <w:lang w:val="ja-JP" w:eastAsia="ja-JP"/>
        </w:rPr>
        <w:t>．評価</w:t>
      </w:r>
    </w:p>
    <w:p w:rsidR="007B475E" w:rsidRDefault="000C5A19">
      <w:pPr>
        <w:rPr>
          <w:lang w:val="ja-JP" w:eastAsia="ja-JP"/>
        </w:rPr>
      </w:pPr>
      <w:r>
        <w:rPr>
          <w:b/>
          <w:bCs/>
          <w:lang w:val="ja-JP" w:eastAsia="ja-JP"/>
        </w:rPr>
        <w:t>＜よかった点＞</w:t>
      </w:r>
    </w:p>
    <w:p w:rsidR="007B475E" w:rsidRDefault="000C5A19">
      <w:pPr>
        <w:rPr>
          <w:lang w:eastAsia="ja-JP"/>
        </w:rPr>
      </w:pPr>
      <w:r>
        <w:rPr>
          <w:lang w:val="ja-JP" w:eastAsia="ja-JP"/>
        </w:rPr>
        <w:t>・板書が見やすい。</w:t>
      </w:r>
    </w:p>
    <w:p w:rsidR="007B475E" w:rsidRDefault="000C5A19">
      <w:pPr>
        <w:rPr>
          <w:lang w:eastAsia="ja-JP"/>
        </w:rPr>
      </w:pPr>
      <w:r>
        <w:rPr>
          <w:lang w:eastAsia="ja-JP"/>
        </w:rPr>
        <w:t>・板書をとらせる時間を取っていた。</w:t>
      </w:r>
    </w:p>
    <w:p w:rsidR="007B475E" w:rsidRDefault="000C5A19">
      <w:pPr>
        <w:rPr>
          <w:lang w:eastAsia="ja-JP"/>
        </w:rPr>
      </w:pPr>
      <w:r>
        <w:rPr>
          <w:lang w:eastAsia="ja-JP"/>
        </w:rPr>
        <w:lastRenderedPageBreak/>
        <w:t>・生徒のノートで実験を行っていた。</w:t>
      </w:r>
    </w:p>
    <w:p w:rsidR="007B475E" w:rsidRDefault="000C5A19">
      <w:pPr>
        <w:rPr>
          <w:lang w:eastAsia="ja-JP"/>
        </w:rPr>
      </w:pPr>
      <w:r>
        <w:rPr>
          <w:lang w:eastAsia="ja-JP"/>
        </w:rPr>
        <w:t>・丁寧な板書。</w:t>
      </w:r>
    </w:p>
    <w:p w:rsidR="007B475E" w:rsidRDefault="000C5A19">
      <w:pPr>
        <w:rPr>
          <w:lang w:eastAsia="ja-JP"/>
        </w:rPr>
      </w:pPr>
      <w:r>
        <w:rPr>
          <w:lang w:eastAsia="ja-JP"/>
        </w:rPr>
        <w:t>・雰囲気、流れがよい。</w:t>
      </w:r>
    </w:p>
    <w:p w:rsidR="007B475E" w:rsidRDefault="000C5A19">
      <w:pPr>
        <w:rPr>
          <w:b/>
          <w:bCs/>
          <w:lang w:eastAsia="ja-JP"/>
        </w:rPr>
      </w:pPr>
      <w:r>
        <w:rPr>
          <w:b/>
          <w:bCs/>
          <w:lang w:val="ja-JP" w:eastAsia="ja-JP"/>
        </w:rPr>
        <w:t>＜改善点＞</w:t>
      </w:r>
    </w:p>
    <w:p w:rsidR="007B475E" w:rsidRDefault="000C5A19">
      <w:pPr>
        <w:rPr>
          <w:lang w:val="ja-JP" w:eastAsia="ja-JP"/>
        </w:rPr>
      </w:pPr>
      <w:r>
        <w:rPr>
          <w:lang w:val="ja-JP" w:eastAsia="ja-JP"/>
        </w:rPr>
        <w:t>・結果へのフォロー。</w:t>
      </w:r>
    </w:p>
    <w:p w:rsidR="007B475E" w:rsidRDefault="000C5A19">
      <w:pPr>
        <w:rPr>
          <w:lang w:val="ja-JP" w:eastAsia="ja-JP"/>
        </w:rPr>
      </w:pPr>
      <w:r>
        <w:rPr>
          <w:lang w:val="ja-JP" w:eastAsia="ja-JP"/>
        </w:rPr>
        <w:t>・光覚、色覚の盲点とのつながりが薄かった。</w:t>
      </w:r>
    </w:p>
    <w:p w:rsidR="007B475E" w:rsidRDefault="000C5A19">
      <w:pPr>
        <w:rPr>
          <w:lang w:val="ja-JP" w:eastAsia="ja-JP"/>
        </w:rPr>
      </w:pPr>
      <w:r>
        <w:rPr>
          <w:lang w:val="ja-JP" w:eastAsia="ja-JP"/>
        </w:rPr>
        <w:t>・目の図の解説をしてほしい。</w:t>
      </w:r>
    </w:p>
    <w:p w:rsidR="007B475E" w:rsidRDefault="000C5A19">
      <w:pPr>
        <w:rPr>
          <w:lang w:val="ja-JP" w:eastAsia="ja-JP"/>
        </w:rPr>
      </w:pPr>
      <w:r>
        <w:rPr>
          <w:lang w:val="ja-JP" w:eastAsia="ja-JP"/>
        </w:rPr>
        <w:t>・実験がわかりにくい。</w:t>
      </w:r>
    </w:p>
    <w:p w:rsidR="007B475E" w:rsidRDefault="000C5A19">
      <w:pPr>
        <w:rPr>
          <w:lang w:val="ja-JP" w:eastAsia="ja-JP"/>
        </w:rPr>
      </w:pPr>
      <w:r>
        <w:rPr>
          <w:lang w:val="ja-JP" w:eastAsia="ja-JP"/>
        </w:rPr>
        <w:t>・解説の後に実験を行うべき。</w:t>
      </w:r>
    </w:p>
    <w:p w:rsidR="007B475E" w:rsidRDefault="000C5A19">
      <w:pPr>
        <w:rPr>
          <w:lang w:val="ja-JP" w:eastAsia="ja-JP"/>
        </w:rPr>
      </w:pPr>
      <w:r>
        <w:rPr>
          <w:lang w:val="ja-JP" w:eastAsia="ja-JP"/>
        </w:rPr>
        <w:t>・盲点の説明がわかりにくい。</w:t>
      </w:r>
    </w:p>
    <w:p w:rsidR="007B475E" w:rsidRDefault="007B475E">
      <w:pPr>
        <w:rPr>
          <w:b/>
          <w:bCs/>
          <w:lang w:eastAsia="ja-JP"/>
        </w:rPr>
      </w:pPr>
    </w:p>
    <w:p w:rsidR="007B475E" w:rsidRDefault="000C5A19">
      <w:pPr>
        <w:jc w:val="left"/>
        <w:rPr>
          <w:b/>
          <w:bCs/>
          <w:color w:val="0070C0"/>
          <w:u w:color="0070C0"/>
          <w:lang w:eastAsia="ja-JP"/>
        </w:rPr>
      </w:pPr>
      <w:r>
        <w:rPr>
          <w:b/>
          <w:bCs/>
          <w:lang w:val="ja-JP" w:eastAsia="ja-JP"/>
        </w:rPr>
        <w:t>・項目別評価</w:t>
      </w:r>
    </w:p>
    <w:p w:rsidR="007B475E" w:rsidRDefault="000C5A19">
      <w:pPr>
        <w:jc w:val="left"/>
        <w:rPr>
          <w:lang w:eastAsia="ja-JP"/>
        </w:rPr>
      </w:pPr>
      <w:r>
        <w:rPr>
          <w:rFonts w:ascii="Times Roman"/>
          <w:lang w:eastAsia="ja-JP"/>
        </w:rPr>
        <w:t>(</w:t>
      </w:r>
      <w:r>
        <w:rPr>
          <w:lang w:val="ja-JP" w:eastAsia="ja-JP"/>
        </w:rPr>
        <w:t>回答者7名</w:t>
      </w:r>
      <w:r>
        <w:rPr>
          <w:rFonts w:ascii="Times Roman"/>
          <w:lang w:eastAsia="ja-JP"/>
        </w:rPr>
        <w:t>)</w:t>
      </w:r>
    </w:p>
    <w:bookmarkStart w:id="1" w:name="_MON_1465538347"/>
    <w:bookmarkEnd w:id="1"/>
    <w:p w:rsidR="007B475E" w:rsidRDefault="001D76F7" w:rsidP="001D76F7">
      <w:pPr>
        <w:jc w:val="center"/>
        <w:rPr>
          <w:lang w:eastAsia="ja-JP"/>
        </w:rPr>
      </w:pPr>
      <w:r>
        <w:rPr>
          <w:lang w:eastAsia="ja-JP"/>
        </w:rPr>
        <w:object w:dxaOrig="7644" w:dyaOrig="30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150pt" o:ole="">
            <v:imagedata r:id="rId11" o:title=""/>
          </v:shape>
          <o:OLEObject Type="Embed" ProgID="Excel.Sheet.12" ShapeID="_x0000_i1025" DrawAspect="Content" ObjectID="_1465674045" r:id="rId12"/>
        </w:object>
      </w:r>
    </w:p>
    <w:p w:rsidR="007B475E" w:rsidRDefault="007B475E">
      <w:pPr>
        <w:jc w:val="left"/>
        <w:rPr>
          <w:sz w:val="26"/>
          <w:szCs w:val="26"/>
          <w:lang w:eastAsia="ja-JP"/>
        </w:rPr>
      </w:pPr>
    </w:p>
    <w:p w:rsidR="007B475E" w:rsidRDefault="000C5A19">
      <w:pPr>
        <w:jc w:val="left"/>
        <w:rPr>
          <w:b/>
          <w:bCs/>
          <w:sz w:val="28"/>
          <w:szCs w:val="28"/>
          <w:lang w:eastAsia="ja-JP"/>
        </w:rPr>
      </w:pPr>
      <w:r>
        <w:rPr>
          <w:b/>
          <w:bCs/>
          <w:sz w:val="28"/>
          <w:szCs w:val="28"/>
          <w:lang w:eastAsia="ja-JP"/>
        </w:rPr>
        <w:t>5</w:t>
      </w:r>
      <w:r>
        <w:rPr>
          <w:b/>
          <w:bCs/>
          <w:sz w:val="28"/>
          <w:szCs w:val="28"/>
          <w:lang w:val="ja-JP" w:eastAsia="ja-JP"/>
        </w:rPr>
        <w:t>．考察</w:t>
      </w:r>
    </w:p>
    <w:p w:rsidR="007B475E" w:rsidRDefault="000C5A19">
      <w:pPr>
        <w:jc w:val="left"/>
        <w:rPr>
          <w:b/>
          <w:bCs/>
          <w:lang w:val="ja-JP" w:eastAsia="ja-JP"/>
        </w:rPr>
      </w:pPr>
      <w:r>
        <w:rPr>
          <w:b/>
          <w:bCs/>
          <w:lang w:val="ja-JP" w:eastAsia="ja-JP"/>
        </w:rPr>
        <w:t>・授業について</w:t>
      </w:r>
    </w:p>
    <w:p w:rsidR="007B475E" w:rsidRDefault="000C5A19">
      <w:pPr>
        <w:jc w:val="left"/>
        <w:rPr>
          <w:lang w:val="ja-JP" w:eastAsia="ja-JP"/>
        </w:rPr>
      </w:pPr>
      <w:r>
        <w:rPr>
          <w:rFonts w:eastAsia="Times Roman" w:hint="eastAsia"/>
          <w:b/>
          <w:bCs/>
          <w:lang w:val="ja-JP" w:eastAsia="ja-JP"/>
        </w:rPr>
        <w:t xml:space="preserve">　</w:t>
      </w:r>
      <w:r>
        <w:rPr>
          <w:lang w:val="ja-JP" w:eastAsia="ja-JP"/>
        </w:rPr>
        <w:t>授業全体を通した流れや雰囲気について、いくつかよい評価を貰うことができた。しかし、早口であった、黒板を向いている時間が長かった等の意見を多く頂いた。これに関しては、生徒に対して授業をしているという意識を強く持って展開していくことが必要だと考えられる。</w:t>
      </w:r>
    </w:p>
    <w:p w:rsidR="007B475E" w:rsidRDefault="000C5A19">
      <w:pPr>
        <w:ind w:firstLine="210"/>
        <w:rPr>
          <w:kern w:val="0"/>
          <w:lang w:eastAsia="ja-JP"/>
        </w:rPr>
      </w:pPr>
      <w:r>
        <w:rPr>
          <w:lang w:val="ja-JP" w:eastAsia="ja-JP"/>
        </w:rPr>
        <w:t>また、盲点を見つける実験を行うに当たって、盲点についての説明が少ないとの意見を多々頂いた。これについても板書の量を増やすこと、</w:t>
      </w:r>
      <w:r>
        <w:rPr>
          <w:kern w:val="0"/>
          <w:lang w:val="ja-JP" w:eastAsia="ja-JP"/>
        </w:rPr>
        <w:t>生徒の反応に合わせて質問を投げかけながら授業を展開していくことなど、基本的な授業展開も含め、様々な工夫をして授業を行っていくことが今後の課題であると考えられる。</w:t>
      </w:r>
    </w:p>
    <w:p w:rsidR="007B475E" w:rsidRDefault="000C5A19">
      <w:pPr>
        <w:jc w:val="left"/>
        <w:rPr>
          <w:b/>
          <w:bCs/>
          <w:lang w:eastAsia="ja-JP"/>
        </w:rPr>
      </w:pPr>
      <w:r>
        <w:rPr>
          <w:b/>
          <w:bCs/>
          <w:lang w:val="ja-JP" w:eastAsia="ja-JP"/>
        </w:rPr>
        <w:t>・実験について</w:t>
      </w:r>
    </w:p>
    <w:p w:rsidR="007B475E" w:rsidRDefault="000C5A19">
      <w:pPr>
        <w:jc w:val="left"/>
        <w:rPr>
          <w:lang w:val="ja-JP" w:eastAsia="ja-JP"/>
        </w:rPr>
      </w:pPr>
      <w:r>
        <w:rPr>
          <w:lang w:val="ja-JP" w:eastAsia="ja-JP"/>
        </w:rPr>
        <w:t xml:space="preserve">　だいたいの生徒が盲点を確認できたが、すべての生徒が確認できたわけではなかった。しかし、確認できなかった生徒に対してのフォローが不十分だった。実験結果がうまく得られない生徒への指導やサポートがこれからの大きな課題であると考えられる。</w:t>
      </w:r>
    </w:p>
    <w:p w:rsidR="007B475E" w:rsidRDefault="000C5A19">
      <w:pPr>
        <w:jc w:val="left"/>
        <w:rPr>
          <w:color w:val="FF0000"/>
          <w:u w:color="FF0000"/>
          <w:lang w:eastAsia="ja-JP"/>
        </w:rPr>
      </w:pPr>
      <w:r>
        <w:rPr>
          <w:lang w:val="ja-JP" w:eastAsia="ja-JP"/>
        </w:rPr>
        <w:t xml:space="preserve">　これについては事前に、生徒に実験結果についてを詳細に説明してから行うことで軽減できたと考えられる。</w:t>
      </w:r>
    </w:p>
    <w:p w:rsidR="007B475E" w:rsidRDefault="000C5A19">
      <w:pPr>
        <w:jc w:val="left"/>
        <w:rPr>
          <w:b/>
          <w:bCs/>
          <w:lang w:eastAsia="ja-JP"/>
        </w:rPr>
      </w:pPr>
      <w:r>
        <w:rPr>
          <w:b/>
          <w:bCs/>
          <w:lang w:val="ja-JP" w:eastAsia="ja-JP"/>
        </w:rPr>
        <w:t>・板書について</w:t>
      </w:r>
    </w:p>
    <w:p w:rsidR="007B475E" w:rsidRDefault="000C5A19">
      <w:pPr>
        <w:ind w:firstLine="210"/>
        <w:rPr>
          <w:lang w:eastAsia="ja-JP"/>
        </w:rPr>
      </w:pPr>
      <w:r>
        <w:rPr>
          <w:kern w:val="0"/>
          <w:lang w:val="ja-JP" w:eastAsia="ja-JP"/>
        </w:rPr>
        <w:t>板書については、見やすい等のよい評価をいくつかもらうことができた。しかし、今回のような板書では実験内容、原理等がわかりにくいとの声をもらった。板書と口頭での説明の順番や、全体の流れに合わせた板書の構成について、事前に深く</w:t>
      </w:r>
      <w:r>
        <w:rPr>
          <w:lang w:val="ja-JP" w:eastAsia="ja-JP"/>
        </w:rPr>
        <w:t>考えて授業を進めていく必要がある。これからは事前に板書の構成をノートに作製して構想をしてから授業に望もうと思う。</w:t>
      </w:r>
    </w:p>
    <w:sectPr w:rsidR="007B475E">
      <w:headerReference w:type="default" r:id="rId13"/>
      <w:footerReference w:type="default" r:id="rId14"/>
      <w:pgSz w:w="11900" w:h="16840"/>
      <w:pgMar w:top="1985" w:right="1701" w:bottom="1701" w:left="1701" w:header="851" w:footer="99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2A86" w:rsidRDefault="007F2A86">
      <w:r>
        <w:separator/>
      </w:r>
    </w:p>
  </w:endnote>
  <w:endnote w:type="continuationSeparator" w:id="0">
    <w:p w:rsidR="007F2A86" w:rsidRDefault="007F2A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ヒラギノ角ゴ ProN W3">
    <w:altName w:val="Times New Roman"/>
    <w:charset w:val="00"/>
    <w:family w:val="roman"/>
    <w:pitch w:val="default"/>
  </w:font>
  <w:font w:name="Arial Unicode MS">
    <w:panose1 w:val="020B0604020202020204"/>
    <w:charset w:val="80"/>
    <w:family w:val="modern"/>
    <w:pitch w:val="variable"/>
    <w:sig w:usb0="F7FFAFFF" w:usb1="E9DFFFFF" w:usb2="0000003F" w:usb3="00000000" w:csb0="003F01FF" w:csb1="00000000"/>
  </w:font>
  <w:font w:name="ヒラギノ角ゴ ProN W6">
    <w:altName w:val="Times New Roman"/>
    <w:charset w:val="00"/>
    <w:family w:val="roman"/>
    <w:pitch w:val="default"/>
  </w:font>
  <w:font w:name="ＭＳ ゴシック">
    <w:altName w:val="MS Gothic"/>
    <w:panose1 w:val="020B0609070205080204"/>
    <w:charset w:val="80"/>
    <w:family w:val="modern"/>
    <w:pitch w:val="fixed"/>
    <w:sig w:usb0="E00002FF" w:usb1="6AC7FDFB" w:usb2="00000012" w:usb3="00000000" w:csb0="0002009F" w:csb1="00000000"/>
  </w:font>
  <w:font w:name="Times Roman">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75E" w:rsidRDefault="000C5A19">
    <w:pPr>
      <w:pStyle w:val="a5"/>
      <w:tabs>
        <w:tab w:val="clear" w:pos="8504"/>
        <w:tab w:val="right" w:pos="8478"/>
      </w:tabs>
      <w:jc w:val="center"/>
    </w:pPr>
    <w:r>
      <w:fldChar w:fldCharType="begin"/>
    </w:r>
    <w:r>
      <w:instrText xml:space="preserve"> PAGE </w:instrText>
    </w:r>
    <w:r>
      <w:fldChar w:fldCharType="separate"/>
    </w:r>
    <w:r w:rsidR="001D76F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2A86" w:rsidRDefault="007F2A86">
      <w:r>
        <w:separator/>
      </w:r>
    </w:p>
  </w:footnote>
  <w:footnote w:type="continuationSeparator" w:id="0">
    <w:p w:rsidR="007F2A86" w:rsidRDefault="007F2A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75E" w:rsidRDefault="007B475E">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455A38"/>
    <w:multiLevelType w:val="multilevel"/>
    <w:tmpl w:val="BB96129E"/>
    <w:lvl w:ilvl="0">
      <w:start w:val="1"/>
      <w:numFmt w:val="decimalEnclosedCircle"/>
      <w:lvlText w:val="%1"/>
      <w:lvlJc w:val="left"/>
      <w:rPr>
        <w:position w:val="0"/>
      </w:rPr>
    </w:lvl>
    <w:lvl w:ilvl="1">
      <w:start w:val="1"/>
      <w:numFmt w:val="aiueoFullWidth"/>
      <w:lvlText w:val="(%2)"/>
      <w:lvlJc w:val="left"/>
      <w:rPr>
        <w:position w:val="0"/>
      </w:rPr>
    </w:lvl>
    <w:lvl w:ilvl="2">
      <w:start w:val="1"/>
      <w:numFmt w:val="decimalEnclosedCircle"/>
      <w:lvlText w:val="%3"/>
      <w:lvlJc w:val="left"/>
      <w:rPr>
        <w:position w:val="0"/>
      </w:rPr>
    </w:lvl>
    <w:lvl w:ilvl="3">
      <w:start w:val="1"/>
      <w:numFmt w:val="decimal"/>
      <w:lvlText w:val="%4."/>
      <w:lvlJc w:val="left"/>
      <w:rPr>
        <w:position w:val="0"/>
      </w:rPr>
    </w:lvl>
    <w:lvl w:ilvl="4">
      <w:start w:val="1"/>
      <w:numFmt w:val="aiueoFullWidth"/>
      <w:lvlText w:val="(%5)"/>
      <w:lvlJc w:val="left"/>
      <w:rPr>
        <w:position w:val="0"/>
      </w:rPr>
    </w:lvl>
    <w:lvl w:ilvl="5">
      <w:start w:val="1"/>
      <w:numFmt w:val="decimalEnclosedCircle"/>
      <w:lvlText w:val="%6"/>
      <w:lvlJc w:val="left"/>
      <w:rPr>
        <w:position w:val="0"/>
      </w:rPr>
    </w:lvl>
    <w:lvl w:ilvl="6">
      <w:start w:val="1"/>
      <w:numFmt w:val="decimal"/>
      <w:lvlText w:val="%7."/>
      <w:lvlJc w:val="left"/>
      <w:rPr>
        <w:position w:val="0"/>
      </w:rPr>
    </w:lvl>
    <w:lvl w:ilvl="7">
      <w:start w:val="1"/>
      <w:numFmt w:val="aiueoFullWidth"/>
      <w:lvlText w:val="(%8)"/>
      <w:lvlJc w:val="left"/>
      <w:rPr>
        <w:position w:val="0"/>
      </w:rPr>
    </w:lvl>
    <w:lvl w:ilvl="8">
      <w:start w:val="1"/>
      <w:numFmt w:val="decimalEnclosedCircle"/>
      <w:lvlText w:val="%9"/>
      <w:lvlJc w:val="left"/>
      <w:rPr>
        <w:position w:val="0"/>
      </w:rPr>
    </w:lvl>
  </w:abstractNum>
  <w:abstractNum w:abstractNumId="1">
    <w:nsid w:val="49730992"/>
    <w:multiLevelType w:val="multilevel"/>
    <w:tmpl w:val="891A313E"/>
    <w:styleLink w:val="List0"/>
    <w:lvl w:ilvl="0">
      <w:start w:val="1"/>
      <w:numFmt w:val="decimalEnclosedCircle"/>
      <w:lvlText w:val="%1"/>
      <w:lvlJc w:val="left"/>
      <w:rPr>
        <w:color w:val="000000"/>
        <w:position w:val="0"/>
        <w:u w:color="000000"/>
      </w:rPr>
    </w:lvl>
    <w:lvl w:ilvl="1">
      <w:start w:val="1"/>
      <w:numFmt w:val="aiueoFullWidth"/>
      <w:lvlText w:val="(%2)"/>
      <w:lvlJc w:val="left"/>
      <w:rPr>
        <w:color w:val="000000"/>
        <w:position w:val="0"/>
        <w:u w:color="000000"/>
      </w:rPr>
    </w:lvl>
    <w:lvl w:ilvl="2">
      <w:start w:val="1"/>
      <w:numFmt w:val="decimalEnclosedCircle"/>
      <w:lvlText w:val="%3"/>
      <w:lvlJc w:val="left"/>
      <w:rPr>
        <w:color w:val="000000"/>
        <w:position w:val="0"/>
        <w:u w:color="000000"/>
      </w:rPr>
    </w:lvl>
    <w:lvl w:ilvl="3">
      <w:start w:val="1"/>
      <w:numFmt w:val="decimal"/>
      <w:lvlText w:val="%4."/>
      <w:lvlJc w:val="left"/>
      <w:rPr>
        <w:color w:val="000000"/>
        <w:position w:val="0"/>
        <w:u w:color="000000"/>
      </w:rPr>
    </w:lvl>
    <w:lvl w:ilvl="4">
      <w:start w:val="1"/>
      <w:numFmt w:val="aiueoFullWidth"/>
      <w:lvlText w:val="(%5)"/>
      <w:lvlJc w:val="left"/>
      <w:rPr>
        <w:color w:val="000000"/>
        <w:position w:val="0"/>
        <w:u w:color="000000"/>
      </w:rPr>
    </w:lvl>
    <w:lvl w:ilvl="5">
      <w:start w:val="1"/>
      <w:numFmt w:val="decimalEnclosedCircle"/>
      <w:lvlText w:val="%6"/>
      <w:lvlJc w:val="left"/>
      <w:rPr>
        <w:color w:val="000000"/>
        <w:position w:val="0"/>
        <w:u w:color="000000"/>
      </w:rPr>
    </w:lvl>
    <w:lvl w:ilvl="6">
      <w:start w:val="1"/>
      <w:numFmt w:val="decimal"/>
      <w:lvlText w:val="%7."/>
      <w:lvlJc w:val="left"/>
      <w:rPr>
        <w:color w:val="000000"/>
        <w:position w:val="0"/>
        <w:u w:color="000000"/>
      </w:rPr>
    </w:lvl>
    <w:lvl w:ilvl="7">
      <w:start w:val="1"/>
      <w:numFmt w:val="aiueoFullWidth"/>
      <w:lvlText w:val="(%8)"/>
      <w:lvlJc w:val="left"/>
      <w:rPr>
        <w:color w:val="000000"/>
        <w:position w:val="0"/>
        <w:u w:color="000000"/>
      </w:rPr>
    </w:lvl>
    <w:lvl w:ilvl="8">
      <w:start w:val="1"/>
      <w:numFmt w:val="decimalEnclosedCircle"/>
      <w:lvlText w:val="%9"/>
      <w:lvlJc w:val="left"/>
      <w:rPr>
        <w:color w:val="000000"/>
        <w:position w:val="0"/>
        <w:u w:color="000000"/>
      </w:rPr>
    </w:lvl>
  </w:abstractNum>
  <w:abstractNum w:abstractNumId="2">
    <w:nsid w:val="60E87D90"/>
    <w:multiLevelType w:val="multilevel"/>
    <w:tmpl w:val="9E6E866C"/>
    <w:lvl w:ilvl="0">
      <w:start w:val="1"/>
      <w:numFmt w:val="decimalEnclosedCircle"/>
      <w:lvlText w:val="%1"/>
      <w:lvlJc w:val="left"/>
      <w:rPr>
        <w:color w:val="000000"/>
        <w:position w:val="0"/>
        <w:u w:color="000000"/>
      </w:rPr>
    </w:lvl>
    <w:lvl w:ilvl="1">
      <w:start w:val="1"/>
      <w:numFmt w:val="aiueoFullWidth"/>
      <w:lvlText w:val="(%2)"/>
      <w:lvlJc w:val="left"/>
      <w:rPr>
        <w:color w:val="000000"/>
        <w:position w:val="0"/>
        <w:u w:color="000000"/>
      </w:rPr>
    </w:lvl>
    <w:lvl w:ilvl="2">
      <w:start w:val="1"/>
      <w:numFmt w:val="decimalEnclosedCircle"/>
      <w:lvlText w:val="%3"/>
      <w:lvlJc w:val="left"/>
      <w:rPr>
        <w:color w:val="000000"/>
        <w:position w:val="0"/>
        <w:u w:color="000000"/>
      </w:rPr>
    </w:lvl>
    <w:lvl w:ilvl="3">
      <w:start w:val="1"/>
      <w:numFmt w:val="decimal"/>
      <w:lvlText w:val="%4."/>
      <w:lvlJc w:val="left"/>
      <w:rPr>
        <w:color w:val="000000"/>
        <w:position w:val="0"/>
        <w:u w:color="000000"/>
      </w:rPr>
    </w:lvl>
    <w:lvl w:ilvl="4">
      <w:start w:val="1"/>
      <w:numFmt w:val="aiueoFullWidth"/>
      <w:lvlText w:val="(%5)"/>
      <w:lvlJc w:val="left"/>
      <w:rPr>
        <w:color w:val="000000"/>
        <w:position w:val="0"/>
        <w:u w:color="000000"/>
      </w:rPr>
    </w:lvl>
    <w:lvl w:ilvl="5">
      <w:start w:val="1"/>
      <w:numFmt w:val="decimalEnclosedCircle"/>
      <w:lvlText w:val="%6"/>
      <w:lvlJc w:val="left"/>
      <w:rPr>
        <w:color w:val="000000"/>
        <w:position w:val="0"/>
        <w:u w:color="000000"/>
      </w:rPr>
    </w:lvl>
    <w:lvl w:ilvl="6">
      <w:start w:val="1"/>
      <w:numFmt w:val="decimal"/>
      <w:lvlText w:val="%7."/>
      <w:lvlJc w:val="left"/>
      <w:rPr>
        <w:color w:val="000000"/>
        <w:position w:val="0"/>
        <w:u w:color="000000"/>
      </w:rPr>
    </w:lvl>
    <w:lvl w:ilvl="7">
      <w:start w:val="1"/>
      <w:numFmt w:val="aiueoFullWidth"/>
      <w:lvlText w:val="(%8)"/>
      <w:lvlJc w:val="left"/>
      <w:rPr>
        <w:color w:val="000000"/>
        <w:position w:val="0"/>
        <w:u w:color="000000"/>
      </w:rPr>
    </w:lvl>
    <w:lvl w:ilvl="8">
      <w:start w:val="1"/>
      <w:numFmt w:val="decimalEnclosedCircle"/>
      <w:lvlText w:val="%9"/>
      <w:lvlJc w:val="left"/>
      <w:rPr>
        <w:color w:val="000000"/>
        <w:position w:val="0"/>
        <w:u w:color="00000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84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7B475E"/>
    <w:rsid w:val="000C5A19"/>
    <w:rsid w:val="001D76F7"/>
    <w:rsid w:val="00294AA2"/>
    <w:rsid w:val="006B2313"/>
    <w:rsid w:val="007B475E"/>
    <w:rsid w:val="007F2A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bdr w:val="nil"/>
        <w:lang w:val="en-US" w:eastAsia="ja-JP"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widowControl w:val="0"/>
      <w:jc w:val="both"/>
    </w:pPr>
    <w:rPr>
      <w:rFonts w:ascii="Century" w:eastAsia="Century" w:hAnsi="Century" w:cs="Century"/>
      <w:color w:val="000000"/>
      <w:kern w:val="2"/>
      <w:sz w:val="21"/>
      <w:szCs w:val="21"/>
      <w:u w:color="00000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4">
    <w:name w:val="ヘッダとフッタ"/>
    <w:pPr>
      <w:tabs>
        <w:tab w:val="right" w:pos="9020"/>
      </w:tabs>
    </w:pPr>
    <w:rPr>
      <w:rFonts w:ascii="ヒラギノ角ゴ ProN W3" w:eastAsia="Arial Unicode MS" w:hAnsi="Arial Unicode MS" w:cs="Arial Unicode MS"/>
      <w:color w:val="000000"/>
      <w:sz w:val="24"/>
      <w:szCs w:val="24"/>
    </w:rPr>
  </w:style>
  <w:style w:type="paragraph" w:styleId="a5">
    <w:name w:val="footer"/>
    <w:pPr>
      <w:widowControl w:val="0"/>
      <w:tabs>
        <w:tab w:val="center" w:pos="4252"/>
        <w:tab w:val="right" w:pos="8504"/>
      </w:tabs>
      <w:jc w:val="both"/>
    </w:pPr>
    <w:rPr>
      <w:rFonts w:ascii="Century" w:eastAsia="Century" w:hAnsi="Century" w:cs="Century"/>
      <w:color w:val="000000"/>
      <w:kern w:val="2"/>
      <w:sz w:val="21"/>
      <w:szCs w:val="21"/>
      <w:u w:color="000000"/>
    </w:rPr>
  </w:style>
  <w:style w:type="paragraph" w:customStyle="1" w:styleId="a6">
    <w:name w:val="タイトル"/>
    <w:next w:val="a7"/>
    <w:pPr>
      <w:keepNext/>
    </w:pPr>
    <w:rPr>
      <w:rFonts w:ascii="Arial Unicode MS" w:eastAsia="ヒラギノ角ゴ ProN W6" w:hAnsi="Arial Unicode MS" w:cs="Arial Unicode MS" w:hint="eastAsia"/>
      <w:color w:val="000000"/>
      <w:sz w:val="60"/>
      <w:szCs w:val="60"/>
      <w:lang w:val="ja-JP"/>
    </w:rPr>
  </w:style>
  <w:style w:type="paragraph" w:styleId="a7">
    <w:name w:val="Body Text"/>
    <w:rPr>
      <w:rFonts w:ascii="Arial Unicode MS" w:eastAsia="ヒラギノ角ゴ ProN W3" w:hAnsi="Arial Unicode MS" w:cs="Arial Unicode MS" w:hint="eastAsia"/>
      <w:color w:val="000000"/>
      <w:sz w:val="22"/>
      <w:szCs w:val="22"/>
      <w:lang w:val="ja-JP"/>
    </w:rPr>
  </w:style>
  <w:style w:type="paragraph" w:customStyle="1" w:styleId="a8">
    <w:name w:val="右づめ"/>
    <w:pPr>
      <w:widowControl w:val="0"/>
      <w:jc w:val="right"/>
    </w:pPr>
    <w:rPr>
      <w:rFonts w:ascii="Century" w:eastAsia="Century" w:hAnsi="Century" w:cs="Century"/>
      <w:color w:val="000000"/>
      <w:kern w:val="2"/>
      <w:sz w:val="21"/>
      <w:szCs w:val="21"/>
      <w:u w:color="000000"/>
    </w:rPr>
  </w:style>
  <w:style w:type="paragraph" w:styleId="a9">
    <w:name w:val="List Paragraph"/>
    <w:pPr>
      <w:widowControl w:val="0"/>
      <w:ind w:left="840"/>
      <w:jc w:val="both"/>
    </w:pPr>
    <w:rPr>
      <w:rFonts w:ascii="Century" w:eastAsia="Century" w:hAnsi="Century" w:cs="Century"/>
      <w:color w:val="000000"/>
      <w:kern w:val="2"/>
      <w:sz w:val="21"/>
      <w:szCs w:val="21"/>
      <w:u w:color="000000"/>
    </w:rPr>
  </w:style>
  <w:style w:type="numbering" w:customStyle="1" w:styleId="List0">
    <w:name w:val="List 0"/>
    <w:basedOn w:val="2"/>
    <w:pPr>
      <w:numPr>
        <w:numId w:val="3"/>
      </w:numPr>
    </w:pPr>
  </w:style>
  <w:style w:type="numbering" w:customStyle="1" w:styleId="2">
    <w:name w:val="読み込んだスタイル 2"/>
  </w:style>
  <w:style w:type="paragraph" w:styleId="aa">
    <w:name w:val="Balloon Text"/>
    <w:basedOn w:val="a"/>
    <w:link w:val="ab"/>
    <w:uiPriority w:val="99"/>
    <w:semiHidden/>
    <w:unhideWhenUsed/>
    <w:rsid w:val="001D76F7"/>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1D76F7"/>
    <w:rPr>
      <w:rFonts w:asciiTheme="majorHAnsi" w:eastAsiaTheme="majorEastAsia" w:hAnsiTheme="majorHAnsi" w:cstheme="majorBidi"/>
      <w:color w:val="000000"/>
      <w:kern w:val="2"/>
      <w:sz w:val="18"/>
      <w:szCs w:val="18"/>
      <w:u w:color="00000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bdr w:val="nil"/>
        <w:lang w:val="en-US" w:eastAsia="ja-JP"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widowControl w:val="0"/>
      <w:jc w:val="both"/>
    </w:pPr>
    <w:rPr>
      <w:rFonts w:ascii="Century" w:eastAsia="Century" w:hAnsi="Century" w:cs="Century"/>
      <w:color w:val="000000"/>
      <w:kern w:val="2"/>
      <w:sz w:val="21"/>
      <w:szCs w:val="21"/>
      <w:u w:color="00000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4">
    <w:name w:val="ヘッダとフッタ"/>
    <w:pPr>
      <w:tabs>
        <w:tab w:val="right" w:pos="9020"/>
      </w:tabs>
    </w:pPr>
    <w:rPr>
      <w:rFonts w:ascii="ヒラギノ角ゴ ProN W3" w:eastAsia="Arial Unicode MS" w:hAnsi="Arial Unicode MS" w:cs="Arial Unicode MS"/>
      <w:color w:val="000000"/>
      <w:sz w:val="24"/>
      <w:szCs w:val="24"/>
    </w:rPr>
  </w:style>
  <w:style w:type="paragraph" w:styleId="a5">
    <w:name w:val="footer"/>
    <w:pPr>
      <w:widowControl w:val="0"/>
      <w:tabs>
        <w:tab w:val="center" w:pos="4252"/>
        <w:tab w:val="right" w:pos="8504"/>
      </w:tabs>
      <w:jc w:val="both"/>
    </w:pPr>
    <w:rPr>
      <w:rFonts w:ascii="Century" w:eastAsia="Century" w:hAnsi="Century" w:cs="Century"/>
      <w:color w:val="000000"/>
      <w:kern w:val="2"/>
      <w:sz w:val="21"/>
      <w:szCs w:val="21"/>
      <w:u w:color="000000"/>
    </w:rPr>
  </w:style>
  <w:style w:type="paragraph" w:customStyle="1" w:styleId="a6">
    <w:name w:val="タイトル"/>
    <w:next w:val="a7"/>
    <w:pPr>
      <w:keepNext/>
    </w:pPr>
    <w:rPr>
      <w:rFonts w:ascii="Arial Unicode MS" w:eastAsia="ヒラギノ角ゴ ProN W6" w:hAnsi="Arial Unicode MS" w:cs="Arial Unicode MS" w:hint="eastAsia"/>
      <w:color w:val="000000"/>
      <w:sz w:val="60"/>
      <w:szCs w:val="60"/>
      <w:lang w:val="ja-JP"/>
    </w:rPr>
  </w:style>
  <w:style w:type="paragraph" w:styleId="a7">
    <w:name w:val="Body Text"/>
    <w:rPr>
      <w:rFonts w:ascii="Arial Unicode MS" w:eastAsia="ヒラギノ角ゴ ProN W3" w:hAnsi="Arial Unicode MS" w:cs="Arial Unicode MS" w:hint="eastAsia"/>
      <w:color w:val="000000"/>
      <w:sz w:val="22"/>
      <w:szCs w:val="22"/>
      <w:lang w:val="ja-JP"/>
    </w:rPr>
  </w:style>
  <w:style w:type="paragraph" w:customStyle="1" w:styleId="a8">
    <w:name w:val="右づめ"/>
    <w:pPr>
      <w:widowControl w:val="0"/>
      <w:jc w:val="right"/>
    </w:pPr>
    <w:rPr>
      <w:rFonts w:ascii="Century" w:eastAsia="Century" w:hAnsi="Century" w:cs="Century"/>
      <w:color w:val="000000"/>
      <w:kern w:val="2"/>
      <w:sz w:val="21"/>
      <w:szCs w:val="21"/>
      <w:u w:color="000000"/>
    </w:rPr>
  </w:style>
  <w:style w:type="paragraph" w:styleId="a9">
    <w:name w:val="List Paragraph"/>
    <w:pPr>
      <w:widowControl w:val="0"/>
      <w:ind w:left="840"/>
      <w:jc w:val="both"/>
    </w:pPr>
    <w:rPr>
      <w:rFonts w:ascii="Century" w:eastAsia="Century" w:hAnsi="Century" w:cs="Century"/>
      <w:color w:val="000000"/>
      <w:kern w:val="2"/>
      <w:sz w:val="21"/>
      <w:szCs w:val="21"/>
      <w:u w:color="000000"/>
    </w:rPr>
  </w:style>
  <w:style w:type="numbering" w:customStyle="1" w:styleId="List0">
    <w:name w:val="List 0"/>
    <w:basedOn w:val="2"/>
    <w:pPr>
      <w:numPr>
        <w:numId w:val="3"/>
      </w:numPr>
    </w:pPr>
  </w:style>
  <w:style w:type="numbering" w:customStyle="1" w:styleId="2">
    <w:name w:val="読み込んだスタイル 2"/>
  </w:style>
  <w:style w:type="paragraph" w:styleId="aa">
    <w:name w:val="Balloon Text"/>
    <w:basedOn w:val="a"/>
    <w:link w:val="ab"/>
    <w:uiPriority w:val="99"/>
    <w:semiHidden/>
    <w:unhideWhenUsed/>
    <w:rsid w:val="001D76F7"/>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1D76F7"/>
    <w:rPr>
      <w:rFonts w:asciiTheme="majorHAnsi" w:eastAsiaTheme="majorEastAsia" w:hAnsiTheme="majorHAnsi" w:cstheme="majorBidi"/>
      <w:color w:val="000000"/>
      <w:kern w:val="2"/>
      <w:sz w:val="18"/>
      <w:szCs w:val="18"/>
      <w:u w:color="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44591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package" Target="embeddings/Microsoft_Excel_Worksheet1.xlsx"/><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ヒラギノ角ゴ ProN W6"/>
        <a:ea typeface="ＭＳ ゴシック"/>
        <a:cs typeface="ヒラギノ角ゴ ProN W6"/>
      </a:majorFont>
      <a:minorFont>
        <a:latin typeface="ヒラギノ角ゴ ProN W3"/>
        <a:ea typeface="ＭＳ 明朝"/>
        <a:cs typeface="ヒラギノ角ゴ ProN W3"/>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ヒラギノ角ゴ ProN W3"/>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ヒラギノ角ゴ ProN W3"/>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3</Pages>
  <Words>250</Words>
  <Characters>1426</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yk</cp:lastModifiedBy>
  <cp:revision>3</cp:revision>
  <dcterms:created xsi:type="dcterms:W3CDTF">2014-06-29T00:09:00Z</dcterms:created>
  <dcterms:modified xsi:type="dcterms:W3CDTF">2014-06-30T13:54:00Z</dcterms:modified>
</cp:coreProperties>
</file>