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C26" w:rsidRDefault="00AB6DCA">
      <w:r>
        <w:rPr>
          <w:rFonts w:hint="eastAsia"/>
        </w:rPr>
        <w:t>理科教育法Ⅲ　第</w:t>
      </w:r>
      <w:r>
        <w:rPr>
          <w:rFonts w:hint="eastAsia"/>
        </w:rPr>
        <w:t>3</w:t>
      </w:r>
      <w:r>
        <w:rPr>
          <w:rFonts w:hint="eastAsia"/>
        </w:rPr>
        <w:t>回模擬授業報告書</w:t>
      </w:r>
    </w:p>
    <w:p w:rsidR="00AB6DCA" w:rsidRDefault="00AB6DCA" w:rsidP="00AB6DCA">
      <w:pPr>
        <w:jc w:val="center"/>
        <w:rPr>
          <w:sz w:val="40"/>
          <w:szCs w:val="40"/>
        </w:rPr>
      </w:pPr>
      <w:r>
        <w:rPr>
          <w:rFonts w:hint="eastAsia"/>
          <w:sz w:val="40"/>
          <w:szCs w:val="40"/>
        </w:rPr>
        <w:t>６班</w:t>
      </w:r>
    </w:p>
    <w:p w:rsidR="00AB6DCA" w:rsidRDefault="00E02597" w:rsidP="00AB6DCA">
      <w:pPr>
        <w:jc w:val="center"/>
        <w:rPr>
          <w:sz w:val="40"/>
          <w:szCs w:val="40"/>
        </w:rPr>
      </w:pPr>
      <w:r>
        <w:rPr>
          <w:rFonts w:hint="eastAsia"/>
          <w:sz w:val="40"/>
          <w:szCs w:val="40"/>
        </w:rPr>
        <w:t>錬金術と呼ばれた</w:t>
      </w:r>
      <w:r w:rsidR="00AB6DCA">
        <w:rPr>
          <w:rFonts w:hint="eastAsia"/>
          <w:sz w:val="40"/>
          <w:szCs w:val="40"/>
        </w:rPr>
        <w:t>実験</w:t>
      </w:r>
    </w:p>
    <w:p w:rsidR="00AB6DCA" w:rsidRDefault="00AB6DCA" w:rsidP="00AB6DCA">
      <w:pPr>
        <w:jc w:val="right"/>
        <w:rPr>
          <w:szCs w:val="21"/>
        </w:rPr>
      </w:pPr>
      <w:r>
        <w:rPr>
          <w:rFonts w:hint="eastAsia"/>
          <w:szCs w:val="21"/>
        </w:rPr>
        <w:t xml:space="preserve">実施日　</w:t>
      </w:r>
      <w:r>
        <w:rPr>
          <w:rFonts w:hint="eastAsia"/>
          <w:szCs w:val="21"/>
        </w:rPr>
        <w:t>2015</w:t>
      </w:r>
      <w:r>
        <w:rPr>
          <w:rFonts w:hint="eastAsia"/>
          <w:szCs w:val="21"/>
        </w:rPr>
        <w:t>年</w:t>
      </w:r>
      <w:r>
        <w:rPr>
          <w:rFonts w:hint="eastAsia"/>
          <w:szCs w:val="21"/>
        </w:rPr>
        <w:t>7</w:t>
      </w:r>
      <w:r>
        <w:rPr>
          <w:rFonts w:hint="eastAsia"/>
          <w:szCs w:val="21"/>
        </w:rPr>
        <w:t>月</w:t>
      </w:r>
      <w:r>
        <w:rPr>
          <w:rFonts w:hint="eastAsia"/>
          <w:szCs w:val="21"/>
        </w:rPr>
        <w:t>6</w:t>
      </w:r>
      <w:r>
        <w:rPr>
          <w:rFonts w:hint="eastAsia"/>
          <w:szCs w:val="21"/>
        </w:rPr>
        <w:t>日</w:t>
      </w:r>
    </w:p>
    <w:p w:rsidR="00AB6DCA" w:rsidRDefault="00AB6DCA" w:rsidP="00AB6DCA">
      <w:pPr>
        <w:jc w:val="right"/>
        <w:rPr>
          <w:szCs w:val="21"/>
        </w:rPr>
      </w:pPr>
      <w:r>
        <w:rPr>
          <w:rFonts w:hint="eastAsia"/>
          <w:szCs w:val="21"/>
        </w:rPr>
        <w:t>天野泰輔（農学生命科学科）、</w:t>
      </w:r>
      <w:bookmarkStart w:id="0" w:name="_GoBack"/>
      <w:bookmarkEnd w:id="0"/>
    </w:p>
    <w:p w:rsidR="00AB6DCA" w:rsidRDefault="00AB6DCA" w:rsidP="00AB6DCA">
      <w:pPr>
        <w:jc w:val="right"/>
        <w:rPr>
          <w:szCs w:val="21"/>
        </w:rPr>
      </w:pPr>
      <w:r>
        <w:rPr>
          <w:rFonts w:hint="eastAsia"/>
          <w:szCs w:val="21"/>
        </w:rPr>
        <w:t>清瀧康太朗（生命分子化学科）、黒川耕平（生命分子化学科）</w:t>
      </w:r>
    </w:p>
    <w:p w:rsidR="00AB6DCA" w:rsidRDefault="00AB6DCA" w:rsidP="00AB6DCA">
      <w:pPr>
        <w:jc w:val="left"/>
        <w:rPr>
          <w:szCs w:val="21"/>
        </w:rPr>
      </w:pPr>
    </w:p>
    <w:p w:rsidR="00AB6DCA" w:rsidRPr="00AB6DCA" w:rsidRDefault="00AB6DCA" w:rsidP="00AB6DCA">
      <w:pPr>
        <w:pStyle w:val="a3"/>
        <w:numPr>
          <w:ilvl w:val="0"/>
          <w:numId w:val="1"/>
        </w:numPr>
        <w:ind w:leftChars="0"/>
        <w:jc w:val="left"/>
        <w:rPr>
          <w:szCs w:val="21"/>
        </w:rPr>
      </w:pPr>
      <w:r w:rsidRPr="00AB6DCA">
        <w:rPr>
          <w:rFonts w:hint="eastAsia"/>
          <w:szCs w:val="21"/>
        </w:rPr>
        <w:t>目的</w:t>
      </w:r>
    </w:p>
    <w:p w:rsidR="004325C5" w:rsidRDefault="004325C5" w:rsidP="00896918">
      <w:pPr>
        <w:ind w:firstLineChars="100" w:firstLine="210"/>
        <w:jc w:val="left"/>
        <w:rPr>
          <w:szCs w:val="21"/>
        </w:rPr>
      </w:pPr>
      <w:r>
        <w:rPr>
          <w:rFonts w:hint="eastAsia"/>
          <w:szCs w:val="21"/>
        </w:rPr>
        <w:t>高校</w:t>
      </w:r>
      <w:r>
        <w:rPr>
          <w:rFonts w:hint="eastAsia"/>
          <w:szCs w:val="21"/>
        </w:rPr>
        <w:t>2</w:t>
      </w:r>
      <w:r>
        <w:rPr>
          <w:rFonts w:hint="eastAsia"/>
          <w:szCs w:val="21"/>
        </w:rPr>
        <w:t>年生を対象とする。</w:t>
      </w:r>
    </w:p>
    <w:p w:rsidR="004325C5" w:rsidRDefault="005B103F" w:rsidP="00896918">
      <w:pPr>
        <w:ind w:leftChars="100" w:left="210"/>
        <w:jc w:val="left"/>
        <w:rPr>
          <w:szCs w:val="21"/>
        </w:rPr>
      </w:pPr>
      <w:r>
        <w:rPr>
          <w:rFonts w:hint="eastAsia"/>
          <w:szCs w:val="21"/>
        </w:rPr>
        <w:t>錬金術と呼ばれた</w:t>
      </w:r>
      <w:r w:rsidR="004325C5">
        <w:rPr>
          <w:rFonts w:hint="eastAsia"/>
          <w:szCs w:val="21"/>
        </w:rPr>
        <w:t>実験を通して、酸化還元反応・遷移元素の性質・錯イオンについて理解を深める。</w:t>
      </w:r>
    </w:p>
    <w:p w:rsidR="00896918" w:rsidRDefault="00896918" w:rsidP="00896918">
      <w:pPr>
        <w:pStyle w:val="a3"/>
        <w:ind w:leftChars="0" w:left="360"/>
        <w:jc w:val="left"/>
        <w:rPr>
          <w:szCs w:val="21"/>
        </w:rPr>
      </w:pPr>
    </w:p>
    <w:p w:rsidR="004325C5" w:rsidRPr="004325C5" w:rsidRDefault="004325C5" w:rsidP="004325C5">
      <w:pPr>
        <w:pStyle w:val="a3"/>
        <w:numPr>
          <w:ilvl w:val="0"/>
          <w:numId w:val="1"/>
        </w:numPr>
        <w:ind w:leftChars="0"/>
        <w:jc w:val="left"/>
        <w:rPr>
          <w:szCs w:val="21"/>
        </w:rPr>
      </w:pPr>
      <w:r w:rsidRPr="004325C5">
        <w:rPr>
          <w:rFonts w:hint="eastAsia"/>
          <w:szCs w:val="21"/>
        </w:rPr>
        <w:t>準備物</w:t>
      </w:r>
    </w:p>
    <w:p w:rsidR="00DB19A9" w:rsidRDefault="004325C5" w:rsidP="00896918">
      <w:pPr>
        <w:ind w:leftChars="100" w:left="210"/>
        <w:jc w:val="left"/>
        <w:rPr>
          <w:szCs w:val="21"/>
        </w:rPr>
      </w:pPr>
      <w:r>
        <w:rPr>
          <w:rFonts w:hint="eastAsia"/>
          <w:szCs w:val="21"/>
        </w:rPr>
        <w:t>水酸化ナトリウム</w:t>
      </w:r>
      <w:r>
        <w:rPr>
          <w:rFonts w:hint="eastAsia"/>
          <w:szCs w:val="21"/>
        </w:rPr>
        <w:t>24(g</w:t>
      </w:r>
      <w:r>
        <w:rPr>
          <w:rFonts w:hint="eastAsia"/>
          <w:szCs w:val="21"/>
        </w:rPr>
        <w:t>）、亜鉛粉末</w:t>
      </w:r>
      <w:r w:rsidR="00DB19A9">
        <w:rPr>
          <w:rFonts w:hint="eastAsia"/>
          <w:szCs w:val="21"/>
        </w:rPr>
        <w:t>5(g)</w:t>
      </w:r>
      <w:r w:rsidR="00DB19A9">
        <w:rPr>
          <w:rFonts w:hint="eastAsia"/>
          <w:szCs w:val="21"/>
        </w:rPr>
        <w:t>、銅板</w:t>
      </w:r>
      <w:r w:rsidR="00DB19A9">
        <w:rPr>
          <w:rFonts w:hint="eastAsia"/>
          <w:szCs w:val="21"/>
        </w:rPr>
        <w:t>1</w:t>
      </w:r>
      <w:r w:rsidR="00DB19A9">
        <w:rPr>
          <w:rFonts w:hint="eastAsia"/>
          <w:szCs w:val="21"/>
        </w:rPr>
        <w:t>枚、銅線</w:t>
      </w:r>
      <w:r w:rsidR="00DB19A9">
        <w:rPr>
          <w:rFonts w:hint="eastAsia"/>
          <w:szCs w:val="21"/>
        </w:rPr>
        <w:t>5(cm)</w:t>
      </w:r>
      <w:r w:rsidR="00DB19A9">
        <w:rPr>
          <w:rFonts w:hint="eastAsia"/>
          <w:szCs w:val="21"/>
        </w:rPr>
        <w:t>、</w:t>
      </w:r>
      <w:r w:rsidR="00DB19A9">
        <w:rPr>
          <w:rFonts w:hint="eastAsia"/>
          <w:szCs w:val="21"/>
        </w:rPr>
        <w:t>200(ml)</w:t>
      </w:r>
      <w:r w:rsidR="00DB19A9">
        <w:rPr>
          <w:rFonts w:hint="eastAsia"/>
          <w:szCs w:val="21"/>
        </w:rPr>
        <w:t>ビーカー</w:t>
      </w:r>
      <w:r w:rsidR="00DB19A9">
        <w:rPr>
          <w:rFonts w:hint="eastAsia"/>
          <w:szCs w:val="21"/>
        </w:rPr>
        <w:t>3</w:t>
      </w:r>
      <w:r w:rsidR="00DB19A9">
        <w:rPr>
          <w:rFonts w:hint="eastAsia"/>
          <w:szCs w:val="21"/>
        </w:rPr>
        <w:t>個、廃液入れ</w:t>
      </w:r>
      <w:r w:rsidR="00DB19A9">
        <w:rPr>
          <w:rFonts w:hint="eastAsia"/>
          <w:szCs w:val="21"/>
        </w:rPr>
        <w:t>1</w:t>
      </w:r>
      <w:r w:rsidR="00DB19A9">
        <w:rPr>
          <w:rFonts w:hint="eastAsia"/>
          <w:szCs w:val="21"/>
        </w:rPr>
        <w:t>個、水</w:t>
      </w:r>
      <w:r w:rsidR="0010625A">
        <w:rPr>
          <w:rFonts w:hint="eastAsia"/>
          <w:szCs w:val="21"/>
        </w:rPr>
        <w:t>2</w:t>
      </w:r>
      <w:r w:rsidR="00DB19A9">
        <w:rPr>
          <w:rFonts w:hint="eastAsia"/>
          <w:szCs w:val="21"/>
        </w:rPr>
        <w:t>00(ml)</w:t>
      </w:r>
      <w:r w:rsidR="00DB19A9">
        <w:rPr>
          <w:rFonts w:hint="eastAsia"/>
          <w:szCs w:val="21"/>
        </w:rPr>
        <w:t>、ホットプレート１台、ガスコンロ１台、保護メガネ</w:t>
      </w:r>
      <w:r w:rsidR="00DB19A9">
        <w:rPr>
          <w:rFonts w:hint="eastAsia"/>
          <w:szCs w:val="21"/>
        </w:rPr>
        <w:t>4</w:t>
      </w:r>
      <w:r w:rsidR="00DB19A9">
        <w:rPr>
          <w:rFonts w:hint="eastAsia"/>
          <w:szCs w:val="21"/>
        </w:rPr>
        <w:t>個</w:t>
      </w:r>
    </w:p>
    <w:p w:rsidR="00DB19A9" w:rsidRDefault="00896918" w:rsidP="00896918">
      <w:pPr>
        <w:ind w:firstLineChars="100" w:firstLine="210"/>
        <w:jc w:val="left"/>
        <w:rPr>
          <w:szCs w:val="21"/>
        </w:rPr>
      </w:pPr>
      <w:r>
        <w:rPr>
          <w:rFonts w:hint="eastAsia"/>
          <w:szCs w:val="21"/>
        </w:rPr>
        <w:t>○</w:t>
      </w:r>
      <w:r w:rsidR="00DB19A9">
        <w:rPr>
          <w:rFonts w:hint="eastAsia"/>
          <w:szCs w:val="21"/>
        </w:rPr>
        <w:t>予算</w:t>
      </w:r>
    </w:p>
    <w:p w:rsidR="00896918" w:rsidRDefault="00DB19A9" w:rsidP="00896918">
      <w:pPr>
        <w:ind w:leftChars="100" w:left="210"/>
        <w:jc w:val="left"/>
        <w:rPr>
          <w:szCs w:val="21"/>
        </w:rPr>
      </w:pPr>
      <w:r>
        <w:rPr>
          <w:rFonts w:hint="eastAsia"/>
          <w:szCs w:val="21"/>
        </w:rPr>
        <w:t>銅線…</w:t>
      </w:r>
      <w:r w:rsidR="00896918">
        <w:rPr>
          <w:rFonts w:hint="eastAsia"/>
          <w:szCs w:val="21"/>
        </w:rPr>
        <w:t>\108</w:t>
      </w:r>
      <w:r w:rsidR="00896918">
        <w:rPr>
          <w:rFonts w:hint="eastAsia"/>
          <w:szCs w:val="21"/>
        </w:rPr>
        <w:t xml:space="preserve">　　　　　　　　　　合計　</w:t>
      </w:r>
      <w:r w:rsidR="00896918">
        <w:rPr>
          <w:rFonts w:hint="eastAsia"/>
          <w:szCs w:val="21"/>
        </w:rPr>
        <w:t>\108</w:t>
      </w:r>
    </w:p>
    <w:p w:rsidR="00DB19A9" w:rsidRDefault="00DB19A9" w:rsidP="00896918">
      <w:pPr>
        <w:ind w:leftChars="100" w:left="210"/>
        <w:jc w:val="left"/>
        <w:rPr>
          <w:szCs w:val="21"/>
        </w:rPr>
      </w:pPr>
      <w:r>
        <w:rPr>
          <w:rFonts w:hint="eastAsia"/>
          <w:szCs w:val="21"/>
        </w:rPr>
        <w:t>水酸化ナトリウム、亜鉛粉末、</w:t>
      </w:r>
      <w:r w:rsidR="00E01CA2">
        <w:rPr>
          <w:rFonts w:hint="eastAsia"/>
          <w:szCs w:val="21"/>
        </w:rPr>
        <w:t>銅板、廃液入れは、椿一典教授（京都府立大学生命環境学部・生命環境学研究科・応用生命科学専攻）にいただいた。また、ビーカー、保護メガネは実験室から拝借し、水は学校の水道水を使用、ホットプレート、ガスコンロは各自で持ち寄った。</w:t>
      </w:r>
    </w:p>
    <w:p w:rsidR="00E01CA2" w:rsidRDefault="00E01CA2" w:rsidP="00DB19A9">
      <w:pPr>
        <w:ind w:leftChars="100" w:left="210"/>
        <w:jc w:val="left"/>
        <w:rPr>
          <w:szCs w:val="21"/>
        </w:rPr>
      </w:pPr>
      <w:r>
        <w:rPr>
          <w:rFonts w:hint="eastAsia"/>
          <w:szCs w:val="21"/>
        </w:rPr>
        <w:t>演示実験なので、人数は変わっても予算が変化することはない。</w:t>
      </w:r>
    </w:p>
    <w:p w:rsidR="00896918" w:rsidRDefault="00896918" w:rsidP="00E01CA2">
      <w:pPr>
        <w:jc w:val="left"/>
        <w:rPr>
          <w:szCs w:val="21"/>
        </w:rPr>
      </w:pPr>
    </w:p>
    <w:p w:rsidR="00E01CA2" w:rsidRDefault="00896918" w:rsidP="00E01CA2">
      <w:pPr>
        <w:jc w:val="left"/>
        <w:rPr>
          <w:szCs w:val="21"/>
        </w:rPr>
      </w:pPr>
      <w:r>
        <w:rPr>
          <w:rFonts w:hint="eastAsia"/>
          <w:szCs w:val="21"/>
        </w:rPr>
        <w:t>3</w:t>
      </w:r>
      <w:r>
        <w:rPr>
          <w:rFonts w:hint="eastAsia"/>
          <w:szCs w:val="21"/>
        </w:rPr>
        <w:t>．</w:t>
      </w:r>
      <w:r w:rsidR="00E01CA2">
        <w:rPr>
          <w:rFonts w:hint="eastAsia"/>
          <w:szCs w:val="21"/>
        </w:rPr>
        <w:t>授業準備</w:t>
      </w:r>
    </w:p>
    <w:p w:rsidR="00DB19A9" w:rsidRDefault="00E01CA2" w:rsidP="00896918">
      <w:pPr>
        <w:ind w:left="210" w:hangingChars="100" w:hanging="210"/>
        <w:jc w:val="left"/>
        <w:rPr>
          <w:szCs w:val="21"/>
        </w:rPr>
      </w:pPr>
      <w:r>
        <w:rPr>
          <w:rFonts w:hint="eastAsia"/>
          <w:szCs w:val="21"/>
        </w:rPr>
        <w:t xml:space="preserve">　</w:t>
      </w:r>
      <w:r w:rsidR="00896918">
        <w:rPr>
          <w:rFonts w:hint="eastAsia"/>
          <w:szCs w:val="21"/>
        </w:rPr>
        <w:t>あらかじめ</w:t>
      </w:r>
      <w:r w:rsidR="00896918">
        <w:rPr>
          <w:rFonts w:hint="eastAsia"/>
          <w:szCs w:val="21"/>
        </w:rPr>
        <w:t>200(ml)</w:t>
      </w:r>
      <w:r w:rsidR="00896918">
        <w:rPr>
          <w:rFonts w:hint="eastAsia"/>
          <w:szCs w:val="21"/>
        </w:rPr>
        <w:t>ビーカーに水</w:t>
      </w:r>
      <w:r w:rsidR="00896918">
        <w:rPr>
          <w:rFonts w:hint="eastAsia"/>
          <w:szCs w:val="21"/>
        </w:rPr>
        <w:t>100(ml)</w:t>
      </w:r>
      <w:r w:rsidR="00896918">
        <w:rPr>
          <w:rFonts w:hint="eastAsia"/>
          <w:szCs w:val="21"/>
        </w:rPr>
        <w:t>を入れ水酸化ナトリウム</w:t>
      </w:r>
      <w:r w:rsidR="00896918">
        <w:rPr>
          <w:rFonts w:hint="eastAsia"/>
          <w:szCs w:val="21"/>
        </w:rPr>
        <w:t>24(g)</w:t>
      </w:r>
      <w:r w:rsidR="00896918">
        <w:rPr>
          <w:rFonts w:hint="eastAsia"/>
          <w:szCs w:val="21"/>
        </w:rPr>
        <w:t>を溶かし、水溶液を作っておいた。また授業直前に水酸化ナトリウム水溶液をホットプレートで温め始めた。</w:t>
      </w:r>
    </w:p>
    <w:p w:rsidR="00896918" w:rsidRDefault="00896918" w:rsidP="00896918">
      <w:pPr>
        <w:ind w:left="210" w:hangingChars="100" w:hanging="210"/>
        <w:jc w:val="left"/>
        <w:rPr>
          <w:szCs w:val="21"/>
        </w:rPr>
      </w:pPr>
    </w:p>
    <w:p w:rsidR="00896918" w:rsidRPr="00BB097F" w:rsidRDefault="00BB097F" w:rsidP="00BB097F">
      <w:r>
        <w:rPr>
          <w:rFonts w:hint="eastAsia"/>
        </w:rPr>
        <w:t>4</w:t>
      </w:r>
      <w:r>
        <w:rPr>
          <w:rFonts w:hint="eastAsia"/>
        </w:rPr>
        <w:t>．</w:t>
      </w:r>
      <w:r w:rsidR="00896918" w:rsidRPr="00BB097F">
        <w:rPr>
          <w:rFonts w:hint="eastAsia"/>
        </w:rPr>
        <w:t>実験方法</w:t>
      </w:r>
    </w:p>
    <w:p w:rsidR="00896918" w:rsidRDefault="00896918" w:rsidP="00896918">
      <w:pPr>
        <w:pStyle w:val="a3"/>
        <w:numPr>
          <w:ilvl w:val="1"/>
          <w:numId w:val="1"/>
        </w:numPr>
        <w:ind w:leftChars="0"/>
        <w:jc w:val="left"/>
        <w:rPr>
          <w:szCs w:val="21"/>
        </w:rPr>
      </w:pPr>
      <w:r>
        <w:rPr>
          <w:rFonts w:hint="eastAsia"/>
          <w:szCs w:val="21"/>
        </w:rPr>
        <w:t>事前にあたためておいた水酸化ナトリウム水溶液に</w:t>
      </w:r>
      <w:r w:rsidR="0010625A">
        <w:rPr>
          <w:rFonts w:hint="eastAsia"/>
          <w:szCs w:val="21"/>
        </w:rPr>
        <w:t>亜鉛粉末を加える。</w:t>
      </w:r>
    </w:p>
    <w:p w:rsidR="0010625A" w:rsidRDefault="0010625A" w:rsidP="00896918">
      <w:pPr>
        <w:pStyle w:val="a3"/>
        <w:numPr>
          <w:ilvl w:val="1"/>
          <w:numId w:val="1"/>
        </w:numPr>
        <w:ind w:leftChars="0"/>
        <w:jc w:val="left"/>
        <w:rPr>
          <w:szCs w:val="21"/>
        </w:rPr>
      </w:pPr>
      <w:r>
        <w:rPr>
          <w:rFonts w:hint="eastAsia"/>
          <w:szCs w:val="21"/>
        </w:rPr>
        <w:t>水酸化ナトリウム水溶液が軽く沸騰したのをみて、銅板を加える。</w:t>
      </w:r>
    </w:p>
    <w:p w:rsidR="0010625A" w:rsidRDefault="0010625A" w:rsidP="0010625A">
      <w:pPr>
        <w:pStyle w:val="a3"/>
        <w:numPr>
          <w:ilvl w:val="1"/>
          <w:numId w:val="1"/>
        </w:numPr>
        <w:ind w:leftChars="0"/>
        <w:jc w:val="left"/>
        <w:rPr>
          <w:szCs w:val="21"/>
        </w:rPr>
      </w:pPr>
      <w:r>
        <w:rPr>
          <w:rFonts w:hint="eastAsia"/>
          <w:szCs w:val="21"/>
        </w:rPr>
        <w:t>銅板の色が両面銀色になるまで、ホットプレート上で加熱を続ける。</w:t>
      </w:r>
    </w:p>
    <w:p w:rsidR="0010625A" w:rsidRDefault="0010625A" w:rsidP="0010625A">
      <w:pPr>
        <w:pStyle w:val="a3"/>
        <w:numPr>
          <w:ilvl w:val="1"/>
          <w:numId w:val="1"/>
        </w:numPr>
        <w:ind w:leftChars="0"/>
        <w:jc w:val="left"/>
        <w:rPr>
          <w:szCs w:val="21"/>
        </w:rPr>
      </w:pPr>
      <w:r>
        <w:rPr>
          <w:rFonts w:hint="eastAsia"/>
          <w:szCs w:val="21"/>
        </w:rPr>
        <w:t>銅板の色が両面銀色になったら、水酸化ナトリウム水溶液から銅板を取出し、</w:t>
      </w:r>
      <w:r>
        <w:rPr>
          <w:rFonts w:hint="eastAsia"/>
          <w:szCs w:val="21"/>
        </w:rPr>
        <w:t>200(ml)</w:t>
      </w:r>
      <w:r>
        <w:rPr>
          <w:rFonts w:hint="eastAsia"/>
          <w:szCs w:val="21"/>
        </w:rPr>
        <w:t>ビーカーに入れた水</w:t>
      </w:r>
      <w:r>
        <w:rPr>
          <w:rFonts w:hint="eastAsia"/>
          <w:szCs w:val="21"/>
        </w:rPr>
        <w:t>100(ml)</w:t>
      </w:r>
      <w:r>
        <w:rPr>
          <w:rFonts w:hint="eastAsia"/>
          <w:szCs w:val="21"/>
        </w:rPr>
        <w:t>で軽くゆすぎ、表面の水分を拭き取る。</w:t>
      </w:r>
    </w:p>
    <w:p w:rsidR="0010625A" w:rsidRDefault="0010625A" w:rsidP="0010625A">
      <w:pPr>
        <w:pStyle w:val="a3"/>
        <w:numPr>
          <w:ilvl w:val="1"/>
          <w:numId w:val="1"/>
        </w:numPr>
        <w:ind w:leftChars="0"/>
        <w:jc w:val="left"/>
        <w:rPr>
          <w:szCs w:val="21"/>
        </w:rPr>
      </w:pPr>
      <w:r>
        <w:rPr>
          <w:rFonts w:hint="eastAsia"/>
          <w:szCs w:val="21"/>
        </w:rPr>
        <w:lastRenderedPageBreak/>
        <w:t>その後、ガスコンロでメッキされた銅板をあぶる。表面が金色になったらあぶるのをやめる。</w:t>
      </w:r>
    </w:p>
    <w:p w:rsidR="0010625A" w:rsidRDefault="0010625A" w:rsidP="0010625A">
      <w:pPr>
        <w:jc w:val="left"/>
        <w:rPr>
          <w:szCs w:val="21"/>
        </w:rPr>
      </w:pPr>
    </w:p>
    <w:p w:rsidR="009D04B0" w:rsidRPr="00BB097F" w:rsidRDefault="009D04B0" w:rsidP="00BB097F">
      <w:pPr>
        <w:pStyle w:val="a3"/>
        <w:numPr>
          <w:ilvl w:val="0"/>
          <w:numId w:val="2"/>
        </w:numPr>
        <w:ind w:leftChars="0"/>
        <w:jc w:val="left"/>
        <w:rPr>
          <w:szCs w:val="21"/>
        </w:rPr>
      </w:pPr>
      <w:r w:rsidRPr="00BB097F">
        <w:rPr>
          <w:rFonts w:hint="eastAsia"/>
          <w:szCs w:val="21"/>
        </w:rPr>
        <w:t>実験理論</w:t>
      </w:r>
    </w:p>
    <w:p w:rsidR="00210BFE" w:rsidRDefault="00210BFE" w:rsidP="00210BFE">
      <w:pPr>
        <w:ind w:firstLineChars="100" w:firstLine="210"/>
        <w:jc w:val="left"/>
        <w:rPr>
          <w:szCs w:val="21"/>
        </w:rPr>
      </w:pPr>
      <w:r>
        <w:rPr>
          <w:rFonts w:hint="eastAsia"/>
          <w:szCs w:val="21"/>
        </w:rPr>
        <w:t>今回の実験では、以下の反応がおこる。</w:t>
      </w:r>
    </w:p>
    <w:p w:rsidR="00210BFE" w:rsidRDefault="00210BFE" w:rsidP="00210BFE">
      <w:pPr>
        <w:ind w:firstLineChars="100" w:firstLine="210"/>
        <w:jc w:val="left"/>
        <w:rPr>
          <w:szCs w:val="21"/>
          <w:vertAlign w:val="superscript"/>
        </w:rPr>
      </w:pPr>
      <w:r>
        <w:rPr>
          <w:rFonts w:hint="eastAsia"/>
          <w:szCs w:val="21"/>
        </w:rPr>
        <w:t xml:space="preserve">亜鉛上　</w:t>
      </w:r>
      <w:r>
        <w:rPr>
          <w:rFonts w:hint="eastAsia"/>
          <w:szCs w:val="21"/>
        </w:rPr>
        <w:t>Zn + 4OH</w:t>
      </w:r>
      <w:r>
        <w:rPr>
          <w:rFonts w:hint="eastAsia"/>
          <w:szCs w:val="21"/>
          <w:vertAlign w:val="superscript"/>
        </w:rPr>
        <w:t>-</w:t>
      </w:r>
      <w:r>
        <w:rPr>
          <w:rFonts w:hint="eastAsia"/>
          <w:szCs w:val="21"/>
        </w:rPr>
        <w:t xml:space="preserve"> </w:t>
      </w:r>
      <w:r>
        <w:rPr>
          <w:rFonts w:hint="eastAsia"/>
          <w:szCs w:val="21"/>
        </w:rPr>
        <w:t>→</w:t>
      </w:r>
      <w:r>
        <w:rPr>
          <w:rFonts w:hint="eastAsia"/>
          <w:szCs w:val="21"/>
        </w:rPr>
        <w:t xml:space="preserve"> [Zn(OH)</w:t>
      </w:r>
      <w:r>
        <w:rPr>
          <w:rFonts w:hint="eastAsia"/>
          <w:szCs w:val="21"/>
          <w:vertAlign w:val="subscript"/>
        </w:rPr>
        <w:t>4</w:t>
      </w:r>
      <w:r>
        <w:rPr>
          <w:rFonts w:hint="eastAsia"/>
          <w:szCs w:val="21"/>
        </w:rPr>
        <w:t>]</w:t>
      </w:r>
      <w:r>
        <w:rPr>
          <w:rFonts w:hint="eastAsia"/>
          <w:szCs w:val="21"/>
          <w:vertAlign w:val="superscript"/>
        </w:rPr>
        <w:t>2-</w:t>
      </w:r>
      <w:r>
        <w:rPr>
          <w:rFonts w:hint="eastAsia"/>
          <w:szCs w:val="21"/>
        </w:rPr>
        <w:t xml:space="preserve"> + 2e</w:t>
      </w:r>
      <w:r>
        <w:rPr>
          <w:rFonts w:hint="eastAsia"/>
          <w:szCs w:val="21"/>
          <w:vertAlign w:val="superscript"/>
        </w:rPr>
        <w:t>-</w:t>
      </w:r>
    </w:p>
    <w:p w:rsidR="00210BFE" w:rsidRDefault="00210BFE" w:rsidP="00210BFE">
      <w:pPr>
        <w:ind w:firstLineChars="100" w:firstLine="210"/>
        <w:jc w:val="left"/>
        <w:rPr>
          <w:szCs w:val="21"/>
          <w:vertAlign w:val="subscript"/>
        </w:rPr>
      </w:pPr>
      <w:r>
        <w:rPr>
          <w:rFonts w:hint="eastAsia"/>
          <w:szCs w:val="21"/>
        </w:rPr>
        <w:t xml:space="preserve">銅板上　</w:t>
      </w:r>
      <w:r>
        <w:rPr>
          <w:rFonts w:hint="eastAsia"/>
          <w:szCs w:val="21"/>
        </w:rPr>
        <w:t>2H</w:t>
      </w:r>
      <w:r>
        <w:rPr>
          <w:rFonts w:hint="eastAsia"/>
          <w:szCs w:val="21"/>
          <w:vertAlign w:val="subscript"/>
        </w:rPr>
        <w:t>2</w:t>
      </w:r>
      <w:r>
        <w:rPr>
          <w:rFonts w:hint="eastAsia"/>
          <w:szCs w:val="21"/>
        </w:rPr>
        <w:t>O + 2e</w:t>
      </w:r>
      <w:r>
        <w:rPr>
          <w:rFonts w:hint="eastAsia"/>
          <w:szCs w:val="21"/>
          <w:vertAlign w:val="superscript"/>
        </w:rPr>
        <w:t>-</w:t>
      </w:r>
      <w:r>
        <w:rPr>
          <w:rFonts w:hint="eastAsia"/>
          <w:szCs w:val="21"/>
        </w:rPr>
        <w:t xml:space="preserve"> </w:t>
      </w:r>
      <w:r>
        <w:rPr>
          <w:rFonts w:hint="eastAsia"/>
          <w:szCs w:val="21"/>
        </w:rPr>
        <w:t>→</w:t>
      </w:r>
      <w:r>
        <w:rPr>
          <w:rFonts w:hint="eastAsia"/>
          <w:szCs w:val="21"/>
        </w:rPr>
        <w:t xml:space="preserve"> 2 OH</w:t>
      </w:r>
      <w:r>
        <w:rPr>
          <w:rFonts w:hint="eastAsia"/>
          <w:szCs w:val="21"/>
          <w:vertAlign w:val="superscript"/>
        </w:rPr>
        <w:t>-</w:t>
      </w:r>
      <w:r>
        <w:rPr>
          <w:rFonts w:hint="eastAsia"/>
          <w:szCs w:val="21"/>
        </w:rPr>
        <w:t>+ H</w:t>
      </w:r>
      <w:r>
        <w:rPr>
          <w:rFonts w:hint="eastAsia"/>
          <w:szCs w:val="21"/>
          <w:vertAlign w:val="subscript"/>
        </w:rPr>
        <w:t>2</w:t>
      </w:r>
    </w:p>
    <w:p w:rsidR="00210BFE" w:rsidRPr="00210BFE" w:rsidRDefault="00210BFE" w:rsidP="00210BFE">
      <w:pPr>
        <w:ind w:firstLineChars="100" w:firstLine="210"/>
        <w:jc w:val="left"/>
        <w:rPr>
          <w:szCs w:val="21"/>
        </w:rPr>
      </w:pPr>
      <w:r>
        <w:rPr>
          <w:rFonts w:hint="eastAsia"/>
          <w:szCs w:val="21"/>
          <w:vertAlign w:val="subscript"/>
        </w:rPr>
        <w:t xml:space="preserve">            </w:t>
      </w:r>
      <w:r>
        <w:rPr>
          <w:rFonts w:hint="eastAsia"/>
          <w:szCs w:val="21"/>
        </w:rPr>
        <w:t>[Zn(OH)</w:t>
      </w:r>
      <w:r>
        <w:rPr>
          <w:rFonts w:hint="eastAsia"/>
          <w:szCs w:val="21"/>
          <w:vertAlign w:val="subscript"/>
        </w:rPr>
        <w:t>4</w:t>
      </w:r>
      <w:r>
        <w:rPr>
          <w:rFonts w:hint="eastAsia"/>
          <w:szCs w:val="21"/>
        </w:rPr>
        <w:t>]</w:t>
      </w:r>
      <w:r>
        <w:rPr>
          <w:rFonts w:hint="eastAsia"/>
          <w:szCs w:val="21"/>
          <w:vertAlign w:val="superscript"/>
        </w:rPr>
        <w:t>2-</w:t>
      </w:r>
      <w:r>
        <w:rPr>
          <w:rFonts w:hint="eastAsia"/>
          <w:szCs w:val="21"/>
        </w:rPr>
        <w:t xml:space="preserve"> + 2e</w:t>
      </w:r>
      <w:r>
        <w:rPr>
          <w:rFonts w:hint="eastAsia"/>
          <w:szCs w:val="21"/>
          <w:vertAlign w:val="superscript"/>
        </w:rPr>
        <w:t>-</w:t>
      </w:r>
      <w:r>
        <w:rPr>
          <w:rFonts w:hint="eastAsia"/>
          <w:szCs w:val="21"/>
        </w:rPr>
        <w:t xml:space="preserve"> </w:t>
      </w:r>
      <w:r>
        <w:rPr>
          <w:rFonts w:hint="eastAsia"/>
          <w:szCs w:val="21"/>
        </w:rPr>
        <w:t>→</w:t>
      </w:r>
      <w:r>
        <w:rPr>
          <w:rFonts w:hint="eastAsia"/>
          <w:szCs w:val="21"/>
        </w:rPr>
        <w:t xml:space="preserve"> Zn + 4</w:t>
      </w:r>
      <w:r w:rsidRPr="00210BFE">
        <w:rPr>
          <w:rFonts w:hint="eastAsia"/>
          <w:szCs w:val="21"/>
        </w:rPr>
        <w:t xml:space="preserve"> </w:t>
      </w:r>
      <w:r>
        <w:rPr>
          <w:rFonts w:hint="eastAsia"/>
          <w:szCs w:val="21"/>
        </w:rPr>
        <w:t>OH</w:t>
      </w:r>
      <w:r>
        <w:rPr>
          <w:rFonts w:hint="eastAsia"/>
          <w:szCs w:val="21"/>
          <w:vertAlign w:val="superscript"/>
        </w:rPr>
        <w:t>-</w:t>
      </w:r>
    </w:p>
    <w:p w:rsidR="009D04B0" w:rsidRDefault="00210BFE" w:rsidP="009D04B0">
      <w:pPr>
        <w:jc w:val="left"/>
        <w:rPr>
          <w:szCs w:val="21"/>
        </w:rPr>
      </w:pPr>
      <w:r>
        <w:rPr>
          <w:rFonts w:hint="eastAsia"/>
          <w:szCs w:val="21"/>
        </w:rPr>
        <w:t xml:space="preserve">  </w:t>
      </w:r>
      <w:r>
        <w:rPr>
          <w:rFonts w:hint="eastAsia"/>
          <w:szCs w:val="21"/>
        </w:rPr>
        <w:t>亜鉛を水酸化ナトリウムに溶かすことで、テトラヒドロキソ亜鉛</w:t>
      </w:r>
      <w:r>
        <w:rPr>
          <w:rFonts w:hint="eastAsia"/>
          <w:szCs w:val="21"/>
        </w:rPr>
        <w:t>(</w:t>
      </w:r>
      <w:r>
        <w:rPr>
          <w:rFonts w:hint="eastAsia"/>
          <w:szCs w:val="21"/>
        </w:rPr>
        <w:t>Ⅱ</w:t>
      </w:r>
      <w:r>
        <w:rPr>
          <w:rFonts w:hint="eastAsia"/>
          <w:szCs w:val="21"/>
        </w:rPr>
        <w:t>)</w:t>
      </w:r>
      <w:r>
        <w:rPr>
          <w:rFonts w:hint="eastAsia"/>
          <w:szCs w:val="21"/>
        </w:rPr>
        <w:t>酸イオンを作る</w:t>
      </w:r>
      <w:r w:rsidR="00BB097F">
        <w:rPr>
          <w:rFonts w:hint="eastAsia"/>
          <w:szCs w:val="21"/>
        </w:rPr>
        <w:t>。こ</w:t>
      </w:r>
    </w:p>
    <w:p w:rsidR="00BB097F" w:rsidRDefault="00BB097F" w:rsidP="00BB097F">
      <w:pPr>
        <w:pStyle w:val="a4"/>
      </w:pPr>
      <w:r>
        <w:rPr>
          <w:rFonts w:hint="eastAsia"/>
        </w:rPr>
        <w:t xml:space="preserve">　のイオンが銅板上に析出することでメッキされ、銀色に見える。発生していた気体は水</w:t>
      </w:r>
    </w:p>
    <w:p w:rsidR="00BB097F" w:rsidRDefault="00BB097F" w:rsidP="00BB097F">
      <w:pPr>
        <w:pStyle w:val="a4"/>
      </w:pPr>
      <w:r>
        <w:rPr>
          <w:rFonts w:hint="eastAsia"/>
        </w:rPr>
        <w:t xml:space="preserve">　素である。</w:t>
      </w:r>
    </w:p>
    <w:p w:rsidR="00BB097F" w:rsidRDefault="00BB097F" w:rsidP="009D04B0">
      <w:pPr>
        <w:jc w:val="left"/>
        <w:rPr>
          <w:szCs w:val="21"/>
        </w:rPr>
      </w:pPr>
      <w:r>
        <w:rPr>
          <w:rFonts w:hint="eastAsia"/>
          <w:szCs w:val="21"/>
        </w:rPr>
        <w:t xml:space="preserve">　さらに、ガスコンロで加熱することで、銅板表面の亜鉛と銅が融け、混ざることで黄銅</w:t>
      </w:r>
    </w:p>
    <w:p w:rsidR="00BB097F" w:rsidRDefault="00BB097F" w:rsidP="009D04B0">
      <w:pPr>
        <w:jc w:val="left"/>
        <w:rPr>
          <w:szCs w:val="21"/>
        </w:rPr>
      </w:pPr>
      <w:r>
        <w:rPr>
          <w:rFonts w:hint="eastAsia"/>
          <w:szCs w:val="21"/>
        </w:rPr>
        <w:t xml:space="preserve">　となり、金色に見える。</w:t>
      </w:r>
    </w:p>
    <w:p w:rsidR="00BB097F" w:rsidRDefault="00BB097F" w:rsidP="009D04B0">
      <w:pPr>
        <w:jc w:val="left"/>
        <w:rPr>
          <w:szCs w:val="21"/>
        </w:rPr>
      </w:pPr>
    </w:p>
    <w:p w:rsidR="00BB097F" w:rsidRPr="00BB097F" w:rsidRDefault="00BB097F" w:rsidP="00BB097F">
      <w:pPr>
        <w:pStyle w:val="a3"/>
        <w:numPr>
          <w:ilvl w:val="0"/>
          <w:numId w:val="2"/>
        </w:numPr>
        <w:ind w:leftChars="0"/>
        <w:jc w:val="left"/>
        <w:rPr>
          <w:szCs w:val="21"/>
        </w:rPr>
      </w:pPr>
      <w:r w:rsidRPr="00BB097F">
        <w:rPr>
          <w:rFonts w:hint="eastAsia"/>
          <w:szCs w:val="21"/>
        </w:rPr>
        <w:t>実験結果</w:t>
      </w:r>
    </w:p>
    <w:p w:rsidR="00E02597" w:rsidRDefault="00BB097F" w:rsidP="00E02597">
      <w:pPr>
        <w:ind w:left="210" w:hangingChars="100" w:hanging="210"/>
        <w:jc w:val="left"/>
        <w:rPr>
          <w:szCs w:val="21"/>
        </w:rPr>
      </w:pPr>
      <w:r>
        <w:rPr>
          <w:rFonts w:hint="eastAsia"/>
          <w:szCs w:val="21"/>
        </w:rPr>
        <w:t xml:space="preserve">　</w:t>
      </w:r>
      <w:r w:rsidR="00E02597">
        <w:rPr>
          <w:rFonts w:hint="eastAsia"/>
          <w:szCs w:val="21"/>
        </w:rPr>
        <w:t>亜鉛粉末の入った水酸化ナトリウム水溶液に銅板を入れると、銅板が銀色に変わった。また、銀色になるまで、銅板からは気体が発生していた。亜鉛でめっきされた銅板をガスコンロであぶると色が金色に変化した。</w:t>
      </w:r>
    </w:p>
    <w:p w:rsidR="00E02597" w:rsidRDefault="00E02597" w:rsidP="00BB097F">
      <w:pPr>
        <w:jc w:val="left"/>
        <w:rPr>
          <w:szCs w:val="21"/>
        </w:rPr>
      </w:pPr>
    </w:p>
    <w:p w:rsidR="00E02597" w:rsidRPr="00E02597" w:rsidRDefault="00E02597" w:rsidP="00E02597">
      <w:pPr>
        <w:pStyle w:val="a3"/>
        <w:numPr>
          <w:ilvl w:val="0"/>
          <w:numId w:val="2"/>
        </w:numPr>
        <w:ind w:leftChars="0"/>
        <w:jc w:val="left"/>
        <w:rPr>
          <w:szCs w:val="21"/>
        </w:rPr>
      </w:pPr>
      <w:r w:rsidRPr="00E02597">
        <w:rPr>
          <w:rFonts w:hint="eastAsia"/>
          <w:szCs w:val="21"/>
        </w:rPr>
        <w:t>授業風景</w:t>
      </w:r>
    </w:p>
    <w:p w:rsidR="00E02597" w:rsidRDefault="00957169" w:rsidP="00E02597">
      <w:pPr>
        <w:jc w:val="left"/>
        <w:rPr>
          <w:szCs w:val="21"/>
        </w:rPr>
      </w:pPr>
      <w:r w:rsidRPr="005B103F">
        <w:rPr>
          <w:noProof/>
          <w:szCs w:val="21"/>
        </w:rPr>
        <w:drawing>
          <wp:anchor distT="0" distB="0" distL="114300" distR="114300" simplePos="0" relativeHeight="251611136" behindDoc="0" locked="0" layoutInCell="1" allowOverlap="1" wp14:anchorId="0CB084F3" wp14:editId="6AE91978">
            <wp:simplePos x="0" y="0"/>
            <wp:positionH relativeFrom="column">
              <wp:posOffset>83185</wp:posOffset>
            </wp:positionH>
            <wp:positionV relativeFrom="page">
              <wp:posOffset>6299835</wp:posOffset>
            </wp:positionV>
            <wp:extent cx="2724150" cy="2042795"/>
            <wp:effectExtent l="0" t="0" r="0" b="0"/>
            <wp:wrapNone/>
            <wp:docPr id="1" name="図 1" descr="C:\Users\kotaro\AppData\Local\Microsoft\Windows\INetCache\IE\MQN4FRC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aro\AppData\Local\Microsoft\Windows\INetCache\IE\MQN4FRC5\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03F" w:rsidRPr="005B103F">
        <w:rPr>
          <w:noProof/>
          <w:szCs w:val="21"/>
        </w:rPr>
        <w:drawing>
          <wp:anchor distT="0" distB="0" distL="114300" distR="114300" simplePos="0" relativeHeight="251641856" behindDoc="0" locked="0" layoutInCell="1" allowOverlap="1" wp14:anchorId="2C80DCEE" wp14:editId="66A851F4">
            <wp:simplePos x="0" y="0"/>
            <wp:positionH relativeFrom="column">
              <wp:posOffset>2816267</wp:posOffset>
            </wp:positionH>
            <wp:positionV relativeFrom="paragraph">
              <wp:posOffset>6350</wp:posOffset>
            </wp:positionV>
            <wp:extent cx="2724150" cy="2042668"/>
            <wp:effectExtent l="0" t="0" r="0" b="0"/>
            <wp:wrapNone/>
            <wp:docPr id="2" name="図 2" descr="C:\Users\kotaro\AppData\Local\Microsoft\Windows\INetCache\IE\YQXFWAZ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aro\AppData\Local\Microsoft\Windows\INetCache\IE\YQXFWAZT\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20426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597" w:rsidRDefault="00E02597" w:rsidP="00E02597">
      <w:pPr>
        <w:jc w:val="left"/>
        <w:rPr>
          <w:szCs w:val="21"/>
        </w:rPr>
      </w:pPr>
    </w:p>
    <w:p w:rsidR="00E02597" w:rsidRDefault="00E02597" w:rsidP="00E02597">
      <w:pPr>
        <w:jc w:val="left"/>
        <w:rPr>
          <w:szCs w:val="21"/>
        </w:rPr>
      </w:pPr>
    </w:p>
    <w:p w:rsidR="008213C2" w:rsidRDefault="008213C2" w:rsidP="00E02597">
      <w:pPr>
        <w:jc w:val="left"/>
        <w:rPr>
          <w:szCs w:val="21"/>
        </w:rPr>
      </w:pPr>
    </w:p>
    <w:p w:rsidR="00E02597" w:rsidRDefault="00E02597" w:rsidP="00E02597">
      <w:pPr>
        <w:jc w:val="left"/>
        <w:rPr>
          <w:szCs w:val="21"/>
        </w:rPr>
      </w:pPr>
    </w:p>
    <w:p w:rsidR="008213C2" w:rsidRDefault="008213C2" w:rsidP="00E02597">
      <w:pPr>
        <w:jc w:val="left"/>
        <w:rPr>
          <w:szCs w:val="21"/>
        </w:rPr>
      </w:pPr>
    </w:p>
    <w:p w:rsidR="008213C2" w:rsidRDefault="008213C2" w:rsidP="00E02597">
      <w:pPr>
        <w:jc w:val="left"/>
        <w:rPr>
          <w:szCs w:val="21"/>
        </w:rPr>
      </w:pPr>
    </w:p>
    <w:p w:rsidR="008213C2" w:rsidRDefault="008213C2" w:rsidP="00E02597">
      <w:pPr>
        <w:jc w:val="left"/>
        <w:rPr>
          <w:szCs w:val="21"/>
        </w:rPr>
      </w:pPr>
    </w:p>
    <w:p w:rsidR="008213C2" w:rsidRDefault="008213C2" w:rsidP="00E02597">
      <w:pPr>
        <w:jc w:val="left"/>
        <w:rPr>
          <w:szCs w:val="21"/>
        </w:rPr>
      </w:pPr>
    </w:p>
    <w:p w:rsidR="008213C2" w:rsidRDefault="00967446" w:rsidP="00E02597">
      <w:pPr>
        <w:jc w:val="left"/>
        <w:rPr>
          <w:szCs w:val="21"/>
        </w:rPr>
      </w:pPr>
      <w:r w:rsidRPr="00521B32">
        <w:rPr>
          <w:noProof/>
          <w:szCs w:val="21"/>
        </w:rPr>
        <w:drawing>
          <wp:anchor distT="0" distB="0" distL="114300" distR="114300" simplePos="0" relativeHeight="251738112" behindDoc="0" locked="0" layoutInCell="1" allowOverlap="1" wp14:anchorId="5034B7E7" wp14:editId="117FF6E2">
            <wp:simplePos x="0" y="0"/>
            <wp:positionH relativeFrom="column">
              <wp:posOffset>104140</wp:posOffset>
            </wp:positionH>
            <wp:positionV relativeFrom="paragraph">
              <wp:posOffset>34925</wp:posOffset>
            </wp:positionV>
            <wp:extent cx="2717800" cy="2038350"/>
            <wp:effectExtent l="0" t="0" r="6350" b="0"/>
            <wp:wrapNone/>
            <wp:docPr id="6" name="図 6" descr="C:\Users\kotaro\AppData\Local\Microsoft\Windows\INetCache\IE\YQXFWAZT\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taro\AppData\Local\Microsoft\Windows\INetCache\IE\YQXFWAZT\imag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3C2" w:rsidRPr="008213C2">
        <w:rPr>
          <w:noProof/>
          <w:szCs w:val="21"/>
        </w:rPr>
        <w:drawing>
          <wp:anchor distT="0" distB="0" distL="114300" distR="114300" simplePos="0" relativeHeight="251731968" behindDoc="0" locked="0" layoutInCell="1" allowOverlap="1" wp14:anchorId="094EC067" wp14:editId="2D37DE2D">
            <wp:simplePos x="0" y="0"/>
            <wp:positionH relativeFrom="column">
              <wp:posOffset>2816014</wp:posOffset>
            </wp:positionH>
            <wp:positionV relativeFrom="paragraph">
              <wp:posOffset>5715</wp:posOffset>
            </wp:positionV>
            <wp:extent cx="2724150" cy="2043113"/>
            <wp:effectExtent l="0" t="0" r="0" b="0"/>
            <wp:wrapNone/>
            <wp:docPr id="4" name="図 4" descr="C:\Users\kotaro\AppData\Local\Microsoft\Windows\INetCache\IE\YQXFWAZ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taro\AppData\Local\Microsoft\Windows\INetCache\IE\YQXFWAZT\imag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724150" cy="20431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13C2" w:rsidRDefault="008213C2" w:rsidP="00E02597">
      <w:pPr>
        <w:jc w:val="left"/>
        <w:rPr>
          <w:szCs w:val="21"/>
        </w:rPr>
      </w:pPr>
    </w:p>
    <w:p w:rsidR="008213C2" w:rsidRDefault="008213C2" w:rsidP="00E02597">
      <w:pPr>
        <w:jc w:val="left"/>
        <w:rPr>
          <w:szCs w:val="21"/>
        </w:rPr>
      </w:pPr>
    </w:p>
    <w:p w:rsidR="004150C3" w:rsidRDefault="004150C3" w:rsidP="004150C3">
      <w:pPr>
        <w:jc w:val="left"/>
        <w:rPr>
          <w:szCs w:val="21"/>
        </w:rPr>
      </w:pPr>
    </w:p>
    <w:p w:rsidR="004150C3" w:rsidRDefault="004150C3" w:rsidP="004150C3">
      <w:pPr>
        <w:jc w:val="left"/>
        <w:rPr>
          <w:szCs w:val="21"/>
        </w:rPr>
      </w:pPr>
    </w:p>
    <w:p w:rsidR="00E02597" w:rsidRDefault="00E02597" w:rsidP="004150C3">
      <w:pPr>
        <w:ind w:firstLineChars="100" w:firstLine="210"/>
        <w:jc w:val="left"/>
        <w:rPr>
          <w:szCs w:val="21"/>
        </w:rPr>
      </w:pPr>
      <w:r>
        <w:rPr>
          <w:rFonts w:hint="eastAsia"/>
          <w:szCs w:val="21"/>
        </w:rPr>
        <w:t>パワーポイント</w:t>
      </w:r>
      <w:r w:rsidR="00967446">
        <w:rPr>
          <w:rFonts w:hint="eastAsia"/>
          <w:szCs w:val="21"/>
        </w:rPr>
        <w:t>（横並び）</w:t>
      </w:r>
    </w:p>
    <w:p w:rsidR="00967446" w:rsidRDefault="00967446" w:rsidP="00521B32">
      <w:pPr>
        <w:ind w:firstLineChars="100" w:firstLine="210"/>
        <w:jc w:val="left"/>
        <w:rPr>
          <w:szCs w:val="21"/>
        </w:rPr>
      </w:pPr>
      <w:r>
        <w:rPr>
          <w:rFonts w:hint="eastAsia"/>
          <w:noProof/>
          <w:szCs w:val="21"/>
        </w:rPr>
        <w:drawing>
          <wp:inline distT="0" distB="0" distL="0" distR="0" wp14:anchorId="2ED51A43" wp14:editId="405D4B9D">
            <wp:extent cx="5400040" cy="74752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イメー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475220"/>
                    </a:xfrm>
                    <a:prstGeom prst="rect">
                      <a:avLst/>
                    </a:prstGeom>
                  </pic:spPr>
                </pic:pic>
              </a:graphicData>
            </a:graphic>
          </wp:inline>
        </w:drawing>
      </w: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F47E5E" w:rsidRDefault="00F47E5E" w:rsidP="00521B32">
      <w:pPr>
        <w:ind w:firstLineChars="100" w:firstLine="210"/>
        <w:jc w:val="left"/>
        <w:rPr>
          <w:szCs w:val="21"/>
        </w:rPr>
      </w:pPr>
    </w:p>
    <w:p w:rsidR="00967446" w:rsidRDefault="001C4B21" w:rsidP="00521B32">
      <w:pPr>
        <w:ind w:firstLineChars="100" w:firstLine="210"/>
        <w:jc w:val="left"/>
        <w:rPr>
          <w:szCs w:val="21"/>
        </w:rPr>
      </w:pPr>
      <w:r>
        <w:rPr>
          <w:rFonts w:hint="eastAsia"/>
          <w:noProof/>
          <w:szCs w:val="21"/>
        </w:rPr>
        <w:drawing>
          <wp:anchor distT="0" distB="0" distL="114300" distR="114300" simplePos="0" relativeHeight="251663360" behindDoc="1" locked="0" layoutInCell="1" allowOverlap="1" wp14:anchorId="3AB35B4F" wp14:editId="0DC2C888">
            <wp:simplePos x="0" y="0"/>
            <wp:positionH relativeFrom="column">
              <wp:posOffset>-21176</wp:posOffset>
            </wp:positionH>
            <wp:positionV relativeFrom="paragraph">
              <wp:posOffset>-986288</wp:posOffset>
            </wp:positionV>
            <wp:extent cx="5400040" cy="74752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イメージ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475220"/>
                    </a:xfrm>
                    <a:prstGeom prst="rect">
                      <a:avLst/>
                    </a:prstGeom>
                  </pic:spPr>
                </pic:pic>
              </a:graphicData>
            </a:graphic>
          </wp:anchor>
        </w:drawing>
      </w: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67446" w:rsidRDefault="00967446" w:rsidP="00521B32">
      <w:pPr>
        <w:ind w:firstLineChars="100" w:firstLine="210"/>
        <w:jc w:val="left"/>
        <w:rPr>
          <w:szCs w:val="21"/>
        </w:rPr>
      </w:pPr>
    </w:p>
    <w:p w:rsidR="009C535D" w:rsidRDefault="009C535D" w:rsidP="009C535D">
      <w:pPr>
        <w:jc w:val="left"/>
        <w:rPr>
          <w:szCs w:val="21"/>
        </w:rPr>
      </w:pPr>
    </w:p>
    <w:p w:rsidR="00967446" w:rsidRDefault="00967446" w:rsidP="009C535D">
      <w:pPr>
        <w:jc w:val="left"/>
        <w:rPr>
          <w:szCs w:val="21"/>
        </w:rPr>
      </w:pPr>
      <w:r>
        <w:rPr>
          <w:rFonts w:hint="eastAsia"/>
          <w:szCs w:val="21"/>
        </w:rPr>
        <w:t>8</w:t>
      </w:r>
      <w:r>
        <w:rPr>
          <w:rFonts w:hint="eastAsia"/>
          <w:szCs w:val="21"/>
        </w:rPr>
        <w:t>．評価</w:t>
      </w:r>
    </w:p>
    <w:p w:rsidR="00967446" w:rsidRDefault="000B4256" w:rsidP="00521B32">
      <w:pPr>
        <w:ind w:firstLineChars="100" w:firstLine="210"/>
        <w:jc w:val="left"/>
        <w:rPr>
          <w:szCs w:val="21"/>
        </w:rPr>
      </w:pPr>
      <w:r>
        <w:rPr>
          <w:rFonts w:hint="eastAsia"/>
          <w:szCs w:val="21"/>
        </w:rPr>
        <w:t>「よ</w:t>
      </w:r>
      <w:r w:rsidR="009C535D">
        <w:rPr>
          <w:rFonts w:hint="eastAsia"/>
          <w:szCs w:val="21"/>
        </w:rPr>
        <w:t>かった点」</w:t>
      </w:r>
    </w:p>
    <w:p w:rsidR="009C535D" w:rsidRDefault="009C535D" w:rsidP="00521B32">
      <w:pPr>
        <w:ind w:firstLineChars="100" w:firstLine="210"/>
        <w:jc w:val="left"/>
        <w:rPr>
          <w:szCs w:val="21"/>
        </w:rPr>
      </w:pPr>
      <w:r>
        <w:rPr>
          <w:rFonts w:hint="eastAsia"/>
          <w:szCs w:val="21"/>
        </w:rPr>
        <w:t>・実験はとても良い。</w:t>
      </w:r>
    </w:p>
    <w:p w:rsidR="009C535D" w:rsidRDefault="009C535D" w:rsidP="00521B32">
      <w:pPr>
        <w:ind w:firstLineChars="100" w:firstLine="210"/>
        <w:jc w:val="left"/>
        <w:rPr>
          <w:szCs w:val="21"/>
        </w:rPr>
      </w:pPr>
      <w:r>
        <w:rPr>
          <w:rFonts w:hint="eastAsia"/>
          <w:szCs w:val="21"/>
        </w:rPr>
        <w:t>・実験がすばらしい。</w:t>
      </w:r>
    </w:p>
    <w:p w:rsidR="009C535D" w:rsidRDefault="009C535D" w:rsidP="00521B32">
      <w:pPr>
        <w:ind w:firstLineChars="100" w:firstLine="210"/>
        <w:jc w:val="left"/>
        <w:rPr>
          <w:szCs w:val="21"/>
        </w:rPr>
      </w:pPr>
      <w:r>
        <w:rPr>
          <w:rFonts w:hint="eastAsia"/>
          <w:szCs w:val="21"/>
        </w:rPr>
        <w:t>・実験で生徒の心をうまくつかめている。</w:t>
      </w:r>
    </w:p>
    <w:p w:rsidR="009C535D" w:rsidRDefault="009C535D" w:rsidP="00521B32">
      <w:pPr>
        <w:ind w:firstLineChars="100" w:firstLine="210"/>
        <w:jc w:val="left"/>
        <w:rPr>
          <w:szCs w:val="21"/>
        </w:rPr>
      </w:pPr>
      <w:r>
        <w:rPr>
          <w:rFonts w:hint="eastAsia"/>
          <w:szCs w:val="21"/>
        </w:rPr>
        <w:t>・実験までの導入がうまくできている。</w:t>
      </w:r>
    </w:p>
    <w:p w:rsidR="009C535D" w:rsidRDefault="009C535D" w:rsidP="00521B32">
      <w:pPr>
        <w:ind w:firstLineChars="100" w:firstLine="210"/>
        <w:jc w:val="left"/>
        <w:rPr>
          <w:szCs w:val="21"/>
        </w:rPr>
      </w:pPr>
    </w:p>
    <w:p w:rsidR="009C535D" w:rsidRDefault="009C535D" w:rsidP="00521B32">
      <w:pPr>
        <w:ind w:firstLineChars="100" w:firstLine="210"/>
        <w:jc w:val="left"/>
        <w:rPr>
          <w:szCs w:val="21"/>
        </w:rPr>
      </w:pPr>
      <w:r>
        <w:rPr>
          <w:rFonts w:hint="eastAsia"/>
          <w:szCs w:val="21"/>
        </w:rPr>
        <w:t>「改善点」</w:t>
      </w:r>
    </w:p>
    <w:p w:rsidR="009C535D" w:rsidRDefault="009C535D" w:rsidP="00521B32">
      <w:pPr>
        <w:ind w:firstLineChars="100" w:firstLine="210"/>
        <w:jc w:val="left"/>
        <w:rPr>
          <w:szCs w:val="21"/>
        </w:rPr>
      </w:pPr>
      <w:r>
        <w:rPr>
          <w:rFonts w:hint="eastAsia"/>
          <w:szCs w:val="21"/>
        </w:rPr>
        <w:t>・せっかくプリントを作っているのに、授業とうまくリンクしていない</w:t>
      </w:r>
      <w:r w:rsidR="0019537B">
        <w:rPr>
          <w:rFonts w:hint="eastAsia"/>
          <w:szCs w:val="21"/>
        </w:rPr>
        <w:t>。</w:t>
      </w:r>
    </w:p>
    <w:p w:rsidR="0019537B" w:rsidRDefault="0019537B" w:rsidP="009E0CBD">
      <w:pPr>
        <w:ind w:leftChars="100" w:left="420" w:hangingChars="100" w:hanging="210"/>
        <w:jc w:val="left"/>
        <w:rPr>
          <w:szCs w:val="21"/>
        </w:rPr>
      </w:pPr>
      <w:r>
        <w:rPr>
          <w:rFonts w:hint="eastAsia"/>
          <w:szCs w:val="21"/>
        </w:rPr>
        <w:t xml:space="preserve">　→講義を行う人とプリントを作る人を分担し、その担当者との間でうまく</w:t>
      </w:r>
      <w:r w:rsidR="009E0CBD">
        <w:rPr>
          <w:rFonts w:hint="eastAsia"/>
          <w:szCs w:val="21"/>
        </w:rPr>
        <w:t>コミュニケーションがとれていなかったので、ちゃんととる。</w:t>
      </w:r>
    </w:p>
    <w:p w:rsidR="009C535D" w:rsidRDefault="009C535D" w:rsidP="009C535D">
      <w:pPr>
        <w:ind w:leftChars="100" w:left="420" w:hangingChars="100" w:hanging="210"/>
        <w:jc w:val="left"/>
        <w:rPr>
          <w:szCs w:val="21"/>
        </w:rPr>
      </w:pPr>
      <w:r>
        <w:rPr>
          <w:rFonts w:hint="eastAsia"/>
          <w:szCs w:val="21"/>
        </w:rPr>
        <w:t>・スライドを使っているのに、活用しきれていない。（イオン化傾向を口で言うだけでなくスライドで出すべきであった。</w:t>
      </w:r>
      <w:r w:rsidR="009E0CBD">
        <w:rPr>
          <w:rFonts w:hint="eastAsia"/>
          <w:szCs w:val="21"/>
        </w:rPr>
        <w:t>）</w:t>
      </w:r>
    </w:p>
    <w:p w:rsidR="009C535D" w:rsidRDefault="009C535D" w:rsidP="009C535D">
      <w:pPr>
        <w:ind w:leftChars="100" w:left="420" w:hangingChars="100" w:hanging="210"/>
        <w:jc w:val="left"/>
        <w:rPr>
          <w:szCs w:val="21"/>
        </w:rPr>
      </w:pPr>
      <w:r>
        <w:rPr>
          <w:rFonts w:hint="eastAsia"/>
          <w:szCs w:val="21"/>
        </w:rPr>
        <w:t>・発問の意味が分かりづらく、内容も難しすぎた。</w:t>
      </w:r>
    </w:p>
    <w:p w:rsidR="009E0CBD" w:rsidRDefault="009E0CBD" w:rsidP="009C535D">
      <w:pPr>
        <w:ind w:leftChars="100" w:left="420" w:hangingChars="100" w:hanging="210"/>
        <w:jc w:val="left"/>
        <w:rPr>
          <w:szCs w:val="21"/>
        </w:rPr>
      </w:pPr>
      <w:r>
        <w:rPr>
          <w:rFonts w:hint="eastAsia"/>
          <w:szCs w:val="21"/>
        </w:rPr>
        <w:t xml:space="preserve">　→</w:t>
      </w:r>
      <w:r w:rsidR="00250B14">
        <w:rPr>
          <w:rFonts w:hint="eastAsia"/>
          <w:szCs w:val="21"/>
        </w:rPr>
        <w:t>大学生にそのように言われるということは、高校生に同じ発問をしても、ちゃんとした答えがかえってくることはほぼないと考えられる。発問にヒントを与えたり、講義をきけばわかる範囲のレベルの発問をつくる。</w:t>
      </w:r>
    </w:p>
    <w:p w:rsidR="009E0CBD" w:rsidRDefault="009C535D" w:rsidP="009C535D">
      <w:pPr>
        <w:ind w:leftChars="100" w:left="420" w:hangingChars="100" w:hanging="210"/>
        <w:jc w:val="left"/>
        <w:rPr>
          <w:szCs w:val="21"/>
        </w:rPr>
      </w:pPr>
      <w:r>
        <w:rPr>
          <w:rFonts w:hint="eastAsia"/>
          <w:szCs w:val="21"/>
        </w:rPr>
        <w:t>・発展の内容が高校生レベルではない。</w:t>
      </w:r>
    </w:p>
    <w:p w:rsidR="009C535D" w:rsidRDefault="009E0CBD" w:rsidP="009C535D">
      <w:pPr>
        <w:ind w:leftChars="100" w:left="420" w:hangingChars="100" w:hanging="210"/>
        <w:jc w:val="left"/>
        <w:rPr>
          <w:szCs w:val="21"/>
        </w:rPr>
      </w:pPr>
      <w:r>
        <w:rPr>
          <w:rFonts w:hint="eastAsia"/>
          <w:szCs w:val="21"/>
        </w:rPr>
        <w:t xml:space="preserve">　→教科書をみて、どこまで噛み砕いて教えればよいのか確認する。</w:t>
      </w:r>
    </w:p>
    <w:p w:rsidR="009C535D" w:rsidRDefault="009C535D" w:rsidP="009C535D">
      <w:pPr>
        <w:ind w:leftChars="100" w:left="420" w:hangingChars="100" w:hanging="210"/>
        <w:jc w:val="left"/>
        <w:rPr>
          <w:szCs w:val="21"/>
        </w:rPr>
      </w:pPr>
      <w:r>
        <w:rPr>
          <w:rFonts w:hint="eastAsia"/>
          <w:szCs w:val="21"/>
        </w:rPr>
        <w:t>・実験と講義のつながりがみえない。</w:t>
      </w:r>
    </w:p>
    <w:p w:rsidR="009E0CBD" w:rsidRDefault="009E0CBD" w:rsidP="009C535D">
      <w:pPr>
        <w:ind w:leftChars="100" w:left="420" w:hangingChars="100" w:hanging="210"/>
        <w:jc w:val="left"/>
        <w:rPr>
          <w:szCs w:val="21"/>
        </w:rPr>
      </w:pPr>
      <w:r>
        <w:rPr>
          <w:rFonts w:hint="eastAsia"/>
          <w:szCs w:val="21"/>
        </w:rPr>
        <w:t xml:space="preserve">　→実験が、「酸化還元反応」、「遷移元素の性質」、「錯イオン」といった、多くの単元がからみあった内容であったため、あれもこれも教えよう詰め込みすぎて、何をしたいかが生徒側も教員側もわからなくなっていたことが考えられる。</w:t>
      </w:r>
      <w:r w:rsidR="00250B14">
        <w:rPr>
          <w:rFonts w:hint="eastAsia"/>
          <w:szCs w:val="21"/>
        </w:rPr>
        <w:t>全て教えるのは不可能なので、一つの内容に絞って講義をすすめるべきであった。</w:t>
      </w:r>
    </w:p>
    <w:p w:rsidR="009C535D" w:rsidRDefault="009C535D" w:rsidP="009C535D">
      <w:pPr>
        <w:ind w:leftChars="100" w:left="420" w:hangingChars="100" w:hanging="210"/>
        <w:jc w:val="left"/>
        <w:rPr>
          <w:szCs w:val="21"/>
        </w:rPr>
      </w:pPr>
      <w:r>
        <w:rPr>
          <w:rFonts w:hint="eastAsia"/>
          <w:szCs w:val="21"/>
        </w:rPr>
        <w:t>・最初に実験を行った後、２回目にひとりの生徒に実験をしてもらったが、ただ同じ実験をするのではなく、少し変えて、より理解度の深まる実験をさせる。</w:t>
      </w:r>
    </w:p>
    <w:p w:rsidR="0019537B" w:rsidRDefault="009C535D" w:rsidP="0019537B">
      <w:pPr>
        <w:ind w:left="420" w:hangingChars="200" w:hanging="420"/>
        <w:jc w:val="left"/>
        <w:rPr>
          <w:szCs w:val="21"/>
        </w:rPr>
      </w:pPr>
      <w:r>
        <w:rPr>
          <w:rFonts w:hint="eastAsia"/>
          <w:szCs w:val="21"/>
        </w:rPr>
        <w:t xml:space="preserve">　</w:t>
      </w:r>
      <w:r w:rsidR="0019537B">
        <w:rPr>
          <w:rFonts w:hint="eastAsia"/>
          <w:szCs w:val="21"/>
        </w:rPr>
        <w:t>・実験名人になりすぎている。</w:t>
      </w:r>
    </w:p>
    <w:p w:rsidR="009C535D" w:rsidRDefault="0019537B" w:rsidP="0019537B">
      <w:pPr>
        <w:ind w:leftChars="200" w:left="420"/>
        <w:jc w:val="left"/>
        <w:rPr>
          <w:szCs w:val="21"/>
        </w:rPr>
      </w:pPr>
      <w:r>
        <w:rPr>
          <w:rFonts w:hint="eastAsia"/>
          <w:szCs w:val="21"/>
        </w:rPr>
        <w:t>→教員はパフォーマーではないので、いかに生徒の学力を上げるかが大切であることを重要視する。</w:t>
      </w:r>
    </w:p>
    <w:p w:rsidR="0019537B" w:rsidRDefault="0019537B" w:rsidP="0019537B">
      <w:pPr>
        <w:ind w:left="420" w:hangingChars="200" w:hanging="420"/>
        <w:jc w:val="left"/>
        <w:rPr>
          <w:szCs w:val="21"/>
        </w:rPr>
      </w:pPr>
      <w:r>
        <w:rPr>
          <w:rFonts w:hint="eastAsia"/>
          <w:szCs w:val="21"/>
        </w:rPr>
        <w:t xml:space="preserve">　・前半に山場となる実験をとても上手に行ってしまったため、後半の講義がどうしても見劣りしてしまう。</w:t>
      </w:r>
    </w:p>
    <w:p w:rsidR="0019537B" w:rsidRPr="0019537B" w:rsidRDefault="0019537B" w:rsidP="0019537B">
      <w:pPr>
        <w:ind w:leftChars="200" w:left="420"/>
        <w:jc w:val="left"/>
        <w:rPr>
          <w:szCs w:val="21"/>
        </w:rPr>
      </w:pPr>
      <w:r>
        <w:rPr>
          <w:rFonts w:hint="eastAsia"/>
          <w:szCs w:val="21"/>
        </w:rPr>
        <w:t>→授業の中心となる内容（講義なのか、実験なのか、問題演習なのか）を決め、そこに生徒の関心のピークを持っていくためにどのような授業展開が必要なのかを考える。</w:t>
      </w:r>
    </w:p>
    <w:p w:rsidR="009C535D" w:rsidRDefault="009C535D" w:rsidP="009C535D">
      <w:pPr>
        <w:ind w:leftChars="100" w:left="420" w:hangingChars="100" w:hanging="210"/>
        <w:jc w:val="left"/>
        <w:rPr>
          <w:szCs w:val="21"/>
        </w:rPr>
      </w:pPr>
    </w:p>
    <w:p w:rsidR="00895887" w:rsidRPr="009C535D" w:rsidRDefault="00895887" w:rsidP="009C535D">
      <w:pPr>
        <w:ind w:leftChars="100" w:left="420" w:hangingChars="100" w:hanging="210"/>
        <w:jc w:val="left"/>
        <w:rPr>
          <w:szCs w:val="21"/>
        </w:rPr>
      </w:pPr>
      <w:r>
        <w:rPr>
          <w:rFonts w:hint="eastAsia"/>
          <w:szCs w:val="21"/>
        </w:rPr>
        <w:t>表</w:t>
      </w:r>
      <w:r>
        <w:rPr>
          <w:rFonts w:hint="eastAsia"/>
          <w:szCs w:val="21"/>
        </w:rPr>
        <w:t>1</w:t>
      </w:r>
      <w:r>
        <w:rPr>
          <w:szCs w:val="21"/>
        </w:rPr>
        <w:t xml:space="preserve"> </w:t>
      </w:r>
      <w:r>
        <w:rPr>
          <w:rFonts w:hint="eastAsia"/>
          <w:szCs w:val="21"/>
        </w:rPr>
        <w:t>授業評価</w:t>
      </w:r>
    </w:p>
    <w:tbl>
      <w:tblPr>
        <w:tblW w:w="7374" w:type="dxa"/>
        <w:tblCellMar>
          <w:left w:w="99" w:type="dxa"/>
          <w:right w:w="99" w:type="dxa"/>
        </w:tblCellMar>
        <w:tblLook w:val="04A0" w:firstRow="1" w:lastRow="0" w:firstColumn="1" w:lastColumn="0" w:noHBand="0" w:noVBand="1"/>
      </w:tblPr>
      <w:tblGrid>
        <w:gridCol w:w="6114"/>
        <w:gridCol w:w="1260"/>
      </w:tblGrid>
      <w:tr w:rsidR="00895887" w:rsidRPr="00895887" w:rsidTr="00895887">
        <w:trPr>
          <w:trHeight w:val="270"/>
        </w:trPr>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 xml:space="preserve">　教員4名　学生17名　計21名</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ind w:firstLineChars="200" w:firstLine="440"/>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平均</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①服装や話し言葉は教員として適当だったか？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4.38</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②声は生徒のほうに向かって発せられ、聞き取りやすかったか？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4.62</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③発問は生徒が考えれば答えられるように工夫されていたか？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3.57</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④板書の文字や数字、図などは丁寧で読みやすかったか？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3.90</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⑤板書は学習者がノートを取りやすいように工夫されていたか？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3.52</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⑥実験や観察は現象や対象物がはっきり確認できる物だったか？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4.86</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⑦実験は学習内容の理解、定着の助けになるものだったか？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4.00</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⑧立ち位置や机間巡視は適当だったか？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4.24</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⑨授業の事前準備はしっかりとされていたか？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4.52</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⑩生徒の反応を見ながら授業を進めていたか？</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4.10</w:t>
            </w:r>
          </w:p>
        </w:tc>
      </w:tr>
      <w:tr w:rsidR="00895887" w:rsidRPr="00895887" w:rsidTr="00895887">
        <w:trPr>
          <w:trHeight w:val="270"/>
        </w:trPr>
        <w:tc>
          <w:tcPr>
            <w:tcW w:w="6114" w:type="dxa"/>
            <w:tcBorders>
              <w:top w:val="nil"/>
              <w:left w:val="single" w:sz="4" w:space="0" w:color="auto"/>
              <w:bottom w:val="single" w:sz="4" w:space="0" w:color="auto"/>
              <w:right w:val="single" w:sz="4" w:space="0" w:color="auto"/>
            </w:tcBorders>
            <w:shd w:val="clear" w:color="auto" w:fill="auto"/>
            <w:noWrap/>
            <w:vAlign w:val="center"/>
            <w:hideMark/>
          </w:tcPr>
          <w:p w:rsidR="00895887" w:rsidRPr="00895887" w:rsidRDefault="00895887" w:rsidP="00895887">
            <w:pPr>
              <w:widowControl/>
              <w:jc w:val="lef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全体平均</w:t>
            </w:r>
          </w:p>
        </w:tc>
        <w:tc>
          <w:tcPr>
            <w:tcW w:w="1260" w:type="dxa"/>
            <w:tcBorders>
              <w:top w:val="nil"/>
              <w:left w:val="nil"/>
              <w:bottom w:val="single" w:sz="4" w:space="0" w:color="auto"/>
              <w:right w:val="single" w:sz="4" w:space="0" w:color="auto"/>
            </w:tcBorders>
            <w:shd w:val="clear" w:color="auto" w:fill="auto"/>
            <w:noWrap/>
            <w:vAlign w:val="center"/>
            <w:hideMark/>
          </w:tcPr>
          <w:p w:rsidR="00895887" w:rsidRPr="00895887" w:rsidRDefault="00895887" w:rsidP="00895887">
            <w:pPr>
              <w:widowControl/>
              <w:jc w:val="right"/>
              <w:rPr>
                <w:rFonts w:ascii="ＭＳ Ｐゴシック" w:eastAsia="ＭＳ Ｐゴシック" w:hAnsi="ＭＳ Ｐゴシック" w:cs="ＭＳ Ｐゴシック"/>
                <w:color w:val="000000"/>
                <w:kern w:val="0"/>
                <w:sz w:val="22"/>
              </w:rPr>
            </w:pPr>
            <w:r w:rsidRPr="00895887">
              <w:rPr>
                <w:rFonts w:ascii="ＭＳ Ｐゴシック" w:eastAsia="ＭＳ Ｐゴシック" w:hAnsi="ＭＳ Ｐゴシック" w:cs="ＭＳ Ｐゴシック" w:hint="eastAsia"/>
                <w:color w:val="000000"/>
                <w:kern w:val="0"/>
                <w:sz w:val="22"/>
              </w:rPr>
              <w:t>4.17</w:t>
            </w:r>
          </w:p>
        </w:tc>
      </w:tr>
    </w:tbl>
    <w:p w:rsidR="00967446" w:rsidRPr="00250B14" w:rsidRDefault="00967446" w:rsidP="00250B14">
      <w:pPr>
        <w:jc w:val="left"/>
        <w:rPr>
          <w:szCs w:val="21"/>
        </w:rPr>
      </w:pPr>
    </w:p>
    <w:p w:rsidR="00250B14" w:rsidRPr="00250B14" w:rsidRDefault="00250B14" w:rsidP="00250B14">
      <w:pPr>
        <w:jc w:val="left"/>
        <w:rPr>
          <w:szCs w:val="21"/>
        </w:rPr>
      </w:pPr>
      <w:r>
        <w:rPr>
          <w:rFonts w:hint="eastAsia"/>
          <w:szCs w:val="21"/>
        </w:rPr>
        <w:t xml:space="preserve">　</w:t>
      </w:r>
    </w:p>
    <w:p w:rsidR="00E74555" w:rsidRDefault="00C56025" w:rsidP="00521B32">
      <w:pPr>
        <w:ind w:firstLineChars="100" w:firstLine="210"/>
        <w:jc w:val="left"/>
        <w:rPr>
          <w:szCs w:val="21"/>
        </w:rPr>
      </w:pPr>
      <w:r>
        <w:rPr>
          <w:noProof/>
        </w:rPr>
        <w:drawing>
          <wp:inline distT="0" distB="0" distL="0" distR="0" wp14:anchorId="003E6639" wp14:editId="3063938A">
            <wp:extent cx="5092995" cy="2456121"/>
            <wp:effectExtent l="0" t="0" r="12700" b="20955"/>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1B0C" w:rsidRDefault="005E1B0C" w:rsidP="005E1B0C">
      <w:pPr>
        <w:jc w:val="left"/>
        <w:rPr>
          <w:szCs w:val="21"/>
        </w:rPr>
      </w:pPr>
    </w:p>
    <w:p w:rsidR="005E1B0C" w:rsidRDefault="005E1B0C" w:rsidP="005E1B0C">
      <w:pPr>
        <w:jc w:val="left"/>
        <w:rPr>
          <w:szCs w:val="21"/>
        </w:rPr>
      </w:pPr>
      <w:r>
        <w:rPr>
          <w:rFonts w:hint="eastAsia"/>
          <w:szCs w:val="21"/>
        </w:rPr>
        <w:t>（</w:t>
      </w:r>
      <w:r>
        <w:rPr>
          <w:rFonts w:hint="eastAsia"/>
          <w:szCs w:val="21"/>
        </w:rPr>
        <w:t>1</w:t>
      </w:r>
      <w:r>
        <w:rPr>
          <w:rFonts w:hint="eastAsia"/>
          <w:szCs w:val="21"/>
        </w:rPr>
        <w:t>）実施前の</w:t>
      </w:r>
      <w:r>
        <w:rPr>
          <w:rFonts w:hint="eastAsia"/>
          <w:szCs w:val="21"/>
        </w:rPr>
        <w:t>6</w:t>
      </w:r>
      <w:r>
        <w:rPr>
          <w:rFonts w:hint="eastAsia"/>
          <w:szCs w:val="21"/>
        </w:rPr>
        <w:t>班の模擬授業準備に対する評価</w:t>
      </w:r>
    </w:p>
    <w:p w:rsidR="00895887" w:rsidRDefault="005B44B6" w:rsidP="00521B32">
      <w:pPr>
        <w:ind w:firstLineChars="100" w:firstLine="210"/>
        <w:jc w:val="left"/>
        <w:rPr>
          <w:szCs w:val="21"/>
        </w:rPr>
      </w:pPr>
      <w:r>
        <w:rPr>
          <w:rFonts w:hint="eastAsia"/>
          <w:szCs w:val="21"/>
        </w:rPr>
        <w:t>表</w:t>
      </w:r>
      <w:r>
        <w:rPr>
          <w:rFonts w:hint="eastAsia"/>
          <w:szCs w:val="21"/>
        </w:rPr>
        <w:t xml:space="preserve">2 </w:t>
      </w:r>
      <w:r>
        <w:rPr>
          <w:rFonts w:hint="eastAsia"/>
          <w:szCs w:val="21"/>
        </w:rPr>
        <w:t xml:space="preserve">　模擬授業の準備に対する評価の平均値（実施前）</w:t>
      </w:r>
    </w:p>
    <w:tbl>
      <w:tblPr>
        <w:tblW w:w="6260" w:type="dxa"/>
        <w:tblCellMar>
          <w:left w:w="99" w:type="dxa"/>
          <w:right w:w="99" w:type="dxa"/>
        </w:tblCellMar>
        <w:tblLook w:val="04A0" w:firstRow="1" w:lastRow="0" w:firstColumn="1" w:lastColumn="0" w:noHBand="0" w:noVBand="1"/>
      </w:tblPr>
      <w:tblGrid>
        <w:gridCol w:w="4100"/>
        <w:gridCol w:w="1080"/>
        <w:gridCol w:w="1080"/>
      </w:tblGrid>
      <w:tr w:rsidR="005B44B6" w:rsidRPr="005B44B6" w:rsidTr="005B44B6">
        <w:trPr>
          <w:trHeight w:val="27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質問紙調査　模擬授業の準備　（実施前）</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 xml:space="preserve">　</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項目　　　　　　６班　学生4人</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小平均</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大平均</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3.31</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3.15</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2.75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②-5</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2.75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4.00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4.00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③-5</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③-6</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3.56</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4.00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全体平均</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3.38</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3.38</w:t>
            </w:r>
          </w:p>
        </w:tc>
      </w:tr>
    </w:tbl>
    <w:p w:rsidR="005B44B6" w:rsidRDefault="005B44B6" w:rsidP="00521B32">
      <w:pPr>
        <w:ind w:firstLineChars="100" w:firstLine="210"/>
        <w:jc w:val="left"/>
        <w:rPr>
          <w:szCs w:val="21"/>
        </w:rPr>
      </w:pPr>
    </w:p>
    <w:p w:rsidR="005B44B6" w:rsidRDefault="005B44B6" w:rsidP="00521B32">
      <w:pPr>
        <w:ind w:firstLineChars="100" w:firstLine="210"/>
        <w:jc w:val="left"/>
        <w:rPr>
          <w:szCs w:val="21"/>
        </w:rPr>
      </w:pPr>
    </w:p>
    <w:p w:rsidR="00C56025" w:rsidRDefault="00C56025" w:rsidP="00521B32">
      <w:pPr>
        <w:ind w:firstLineChars="100" w:firstLine="210"/>
        <w:jc w:val="left"/>
        <w:rPr>
          <w:szCs w:val="21"/>
        </w:rPr>
      </w:pPr>
      <w:r>
        <w:rPr>
          <w:noProof/>
        </w:rPr>
        <w:drawing>
          <wp:inline distT="0" distB="0" distL="0" distR="0" wp14:anchorId="3729BE36" wp14:editId="6E476F4C">
            <wp:extent cx="4612188" cy="2713971"/>
            <wp:effectExtent l="0" t="0" r="17145" b="10795"/>
            <wp:docPr id="10" name="グラフ 10" title="模擬授業の準備　事前"/>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r>
        <w:rPr>
          <w:noProof/>
        </w:rPr>
        <w:drawing>
          <wp:inline distT="0" distB="0" distL="0" distR="0" wp14:anchorId="2FE90CC1" wp14:editId="48B24A82">
            <wp:extent cx="4623878" cy="2713973"/>
            <wp:effectExtent l="0" t="0" r="24765" b="1079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6025" w:rsidRDefault="00C56025" w:rsidP="005B44B6">
      <w:pPr>
        <w:ind w:firstLineChars="100" w:firstLine="210"/>
        <w:jc w:val="left"/>
        <w:rPr>
          <w:szCs w:val="21"/>
        </w:rPr>
      </w:pPr>
    </w:p>
    <w:p w:rsidR="00A22FD1" w:rsidRDefault="00A22FD1" w:rsidP="00C56025">
      <w:pPr>
        <w:jc w:val="left"/>
        <w:rPr>
          <w:szCs w:val="21"/>
        </w:rPr>
      </w:pPr>
    </w:p>
    <w:p w:rsidR="00C56025" w:rsidRPr="005E1B0C" w:rsidRDefault="005E1B0C" w:rsidP="00C56025">
      <w:pPr>
        <w:jc w:val="left"/>
        <w:rPr>
          <w:szCs w:val="21"/>
        </w:rPr>
      </w:pPr>
      <w:r>
        <w:rPr>
          <w:rFonts w:hint="eastAsia"/>
          <w:szCs w:val="21"/>
        </w:rPr>
        <w:t>（</w:t>
      </w:r>
      <w:r>
        <w:rPr>
          <w:rFonts w:hint="eastAsia"/>
          <w:szCs w:val="21"/>
        </w:rPr>
        <w:t>2</w:t>
      </w:r>
      <w:r>
        <w:rPr>
          <w:rFonts w:hint="eastAsia"/>
          <w:szCs w:val="21"/>
        </w:rPr>
        <w:t>）実施後の</w:t>
      </w:r>
      <w:r>
        <w:rPr>
          <w:rFonts w:hint="eastAsia"/>
          <w:szCs w:val="21"/>
        </w:rPr>
        <w:t>6</w:t>
      </w:r>
      <w:r>
        <w:rPr>
          <w:rFonts w:hint="eastAsia"/>
          <w:szCs w:val="21"/>
        </w:rPr>
        <w:t>班の模擬授業準備に対する評価</w:t>
      </w:r>
    </w:p>
    <w:p w:rsidR="005B44B6" w:rsidRDefault="005B44B6" w:rsidP="005B44B6">
      <w:pPr>
        <w:ind w:firstLineChars="100" w:firstLine="210"/>
        <w:jc w:val="left"/>
        <w:rPr>
          <w:szCs w:val="21"/>
        </w:rPr>
      </w:pPr>
      <w:r>
        <w:rPr>
          <w:rFonts w:hint="eastAsia"/>
          <w:szCs w:val="21"/>
        </w:rPr>
        <w:t>表</w:t>
      </w:r>
      <w:r>
        <w:rPr>
          <w:rFonts w:hint="eastAsia"/>
          <w:szCs w:val="21"/>
        </w:rPr>
        <w:t xml:space="preserve">3  </w:t>
      </w:r>
      <w:r>
        <w:rPr>
          <w:rFonts w:hint="eastAsia"/>
          <w:szCs w:val="21"/>
        </w:rPr>
        <w:t>模擬授業の準備に対する</w:t>
      </w:r>
      <w:r w:rsidR="00FA13F2">
        <w:rPr>
          <w:rFonts w:hint="eastAsia"/>
          <w:szCs w:val="21"/>
        </w:rPr>
        <w:t>班員の</w:t>
      </w:r>
      <w:r>
        <w:rPr>
          <w:rFonts w:hint="eastAsia"/>
          <w:szCs w:val="21"/>
        </w:rPr>
        <w:t>評価の平均値（実施後）</w:t>
      </w:r>
    </w:p>
    <w:tbl>
      <w:tblPr>
        <w:tblW w:w="6260" w:type="dxa"/>
        <w:tblCellMar>
          <w:left w:w="99" w:type="dxa"/>
          <w:right w:w="99" w:type="dxa"/>
        </w:tblCellMar>
        <w:tblLook w:val="04A0" w:firstRow="1" w:lastRow="0" w:firstColumn="1" w:lastColumn="0" w:noHBand="0" w:noVBand="1"/>
      </w:tblPr>
      <w:tblGrid>
        <w:gridCol w:w="4100"/>
        <w:gridCol w:w="1080"/>
        <w:gridCol w:w="1080"/>
      </w:tblGrid>
      <w:tr w:rsidR="005B44B6" w:rsidRPr="005B44B6" w:rsidTr="005B44B6">
        <w:trPr>
          <w:trHeight w:val="27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質問紙調査　模擬授業の準備　（実施後）</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 xml:space="preserve">　</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項目　　　　　　６班　学生4人</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小平均</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大平均</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①-4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2.75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2.65</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2.75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②-5</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2.50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4.00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4.25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③-5</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③-6</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④-1</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3.75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3.56</w:t>
            </w: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④-2</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3.00</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④-3</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4.25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④-4</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3.25</w:t>
            </w:r>
          </w:p>
        </w:tc>
        <w:tc>
          <w:tcPr>
            <w:tcW w:w="1080" w:type="dxa"/>
            <w:vMerge/>
            <w:tcBorders>
              <w:top w:val="nil"/>
              <w:left w:val="single" w:sz="4" w:space="0" w:color="auto"/>
              <w:bottom w:val="single" w:sz="4" w:space="0" w:color="auto"/>
              <w:right w:val="single" w:sz="4" w:space="0" w:color="auto"/>
            </w:tcBorders>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p>
        </w:tc>
      </w:tr>
      <w:tr w:rsidR="005B44B6" w:rsidRPr="005B44B6" w:rsidTr="005B44B6">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5B44B6" w:rsidRPr="005B44B6" w:rsidRDefault="005B44B6" w:rsidP="005B44B6">
            <w:pPr>
              <w:widowControl/>
              <w:jc w:val="lef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全体平均</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3.26</w:t>
            </w:r>
          </w:p>
        </w:tc>
        <w:tc>
          <w:tcPr>
            <w:tcW w:w="1080" w:type="dxa"/>
            <w:tcBorders>
              <w:top w:val="nil"/>
              <w:left w:val="nil"/>
              <w:bottom w:val="single" w:sz="4" w:space="0" w:color="auto"/>
              <w:right w:val="single" w:sz="4" w:space="0" w:color="auto"/>
            </w:tcBorders>
            <w:shd w:val="clear" w:color="auto" w:fill="auto"/>
            <w:noWrap/>
            <w:vAlign w:val="center"/>
            <w:hideMark/>
          </w:tcPr>
          <w:p w:rsidR="005B44B6" w:rsidRPr="005B44B6" w:rsidRDefault="005B44B6" w:rsidP="005B44B6">
            <w:pPr>
              <w:widowControl/>
              <w:jc w:val="right"/>
              <w:rPr>
                <w:rFonts w:ascii="ＭＳ Ｐゴシック" w:eastAsia="ＭＳ Ｐゴシック" w:hAnsi="ＭＳ Ｐゴシック" w:cs="ＭＳ Ｐゴシック"/>
                <w:color w:val="000000"/>
                <w:kern w:val="0"/>
                <w:sz w:val="22"/>
              </w:rPr>
            </w:pPr>
            <w:r w:rsidRPr="005B44B6">
              <w:rPr>
                <w:rFonts w:ascii="ＭＳ Ｐゴシック" w:eastAsia="ＭＳ Ｐゴシック" w:hAnsi="ＭＳ Ｐゴシック" w:cs="ＭＳ Ｐゴシック" w:hint="eastAsia"/>
                <w:color w:val="000000"/>
                <w:kern w:val="0"/>
                <w:sz w:val="22"/>
              </w:rPr>
              <w:t>3.24</w:t>
            </w:r>
          </w:p>
        </w:tc>
      </w:tr>
    </w:tbl>
    <w:p w:rsidR="005B44B6" w:rsidRDefault="005B44B6" w:rsidP="001C4B21">
      <w:pPr>
        <w:jc w:val="left"/>
        <w:rPr>
          <w:szCs w:val="21"/>
        </w:rPr>
      </w:pPr>
    </w:p>
    <w:p w:rsidR="007C29E0" w:rsidRDefault="00C56025" w:rsidP="005B44B6">
      <w:pPr>
        <w:ind w:firstLineChars="100" w:firstLine="210"/>
        <w:jc w:val="left"/>
        <w:rPr>
          <w:szCs w:val="21"/>
        </w:rPr>
      </w:pPr>
      <w:r>
        <w:rPr>
          <w:noProof/>
        </w:rPr>
        <w:drawing>
          <wp:inline distT="0" distB="0" distL="0" distR="0" wp14:anchorId="368EDD9D" wp14:editId="10922132">
            <wp:extent cx="4612187" cy="2713973"/>
            <wp:effectExtent l="0" t="0" r="17145" b="1079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29E0" w:rsidRDefault="007C29E0" w:rsidP="005B44B6">
      <w:pPr>
        <w:ind w:firstLineChars="100" w:firstLine="210"/>
        <w:jc w:val="left"/>
        <w:rPr>
          <w:szCs w:val="21"/>
        </w:rPr>
      </w:pPr>
    </w:p>
    <w:p w:rsidR="007C29E0" w:rsidRDefault="00C56025" w:rsidP="005B44B6">
      <w:pPr>
        <w:ind w:firstLineChars="100" w:firstLine="210"/>
        <w:jc w:val="left"/>
        <w:rPr>
          <w:szCs w:val="21"/>
        </w:rPr>
      </w:pPr>
      <w:r>
        <w:rPr>
          <w:noProof/>
        </w:rPr>
        <w:drawing>
          <wp:inline distT="0" distB="0" distL="0" distR="0" wp14:anchorId="5763E993" wp14:editId="5E33EC73">
            <wp:extent cx="4263655" cy="2339163"/>
            <wp:effectExtent l="0" t="0" r="22860" b="2349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6025" w:rsidRDefault="00C56025" w:rsidP="00FA13F2">
      <w:pPr>
        <w:jc w:val="left"/>
        <w:rPr>
          <w:szCs w:val="21"/>
        </w:rPr>
      </w:pPr>
    </w:p>
    <w:p w:rsidR="00A22FD1" w:rsidRDefault="00A22FD1" w:rsidP="00FA13F2">
      <w:pPr>
        <w:jc w:val="left"/>
        <w:rPr>
          <w:szCs w:val="21"/>
        </w:rPr>
      </w:pPr>
    </w:p>
    <w:p w:rsidR="005E1B0C" w:rsidRPr="005E1B0C" w:rsidRDefault="005E1B0C" w:rsidP="00FA13F2">
      <w:pPr>
        <w:jc w:val="left"/>
        <w:rPr>
          <w:szCs w:val="21"/>
        </w:rPr>
      </w:pPr>
      <w:r>
        <w:rPr>
          <w:rFonts w:hint="eastAsia"/>
          <w:szCs w:val="21"/>
        </w:rPr>
        <w:t>（</w:t>
      </w:r>
      <w:r>
        <w:rPr>
          <w:rFonts w:hint="eastAsia"/>
          <w:szCs w:val="21"/>
        </w:rPr>
        <w:t>3</w:t>
      </w:r>
      <w:r>
        <w:rPr>
          <w:rFonts w:hint="eastAsia"/>
          <w:szCs w:val="21"/>
        </w:rPr>
        <w:t>）実施後の生徒の模擬授業準備に対する評価</w:t>
      </w:r>
    </w:p>
    <w:p w:rsidR="00C56025" w:rsidRPr="00FA13F2" w:rsidRDefault="00FA13F2" w:rsidP="00FA13F2">
      <w:pPr>
        <w:ind w:firstLineChars="100" w:firstLine="210"/>
        <w:jc w:val="left"/>
        <w:rPr>
          <w:szCs w:val="21"/>
        </w:rPr>
      </w:pPr>
      <w:r>
        <w:rPr>
          <w:rFonts w:hint="eastAsia"/>
          <w:szCs w:val="21"/>
        </w:rPr>
        <w:t>表４</w:t>
      </w:r>
      <w:r>
        <w:rPr>
          <w:rFonts w:hint="eastAsia"/>
          <w:szCs w:val="21"/>
        </w:rPr>
        <w:t xml:space="preserve"> </w:t>
      </w:r>
      <w:r>
        <w:rPr>
          <w:rFonts w:hint="eastAsia"/>
          <w:szCs w:val="21"/>
        </w:rPr>
        <w:t>模擬授業の準備に対する生徒の評価の平均値（実施後）</w:t>
      </w:r>
    </w:p>
    <w:tbl>
      <w:tblPr>
        <w:tblW w:w="6260" w:type="dxa"/>
        <w:tblInd w:w="84" w:type="dxa"/>
        <w:tblCellMar>
          <w:left w:w="99" w:type="dxa"/>
          <w:right w:w="99" w:type="dxa"/>
        </w:tblCellMar>
        <w:tblLook w:val="04A0" w:firstRow="1" w:lastRow="0" w:firstColumn="1" w:lastColumn="0" w:noHBand="0" w:noVBand="1"/>
      </w:tblPr>
      <w:tblGrid>
        <w:gridCol w:w="4100"/>
        <w:gridCol w:w="1080"/>
        <w:gridCol w:w="1080"/>
      </w:tblGrid>
      <w:tr w:rsidR="00FA13F2" w:rsidRPr="00FA13F2" w:rsidTr="00FA13F2">
        <w:trPr>
          <w:trHeight w:val="27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質問紙調査　模擬授業の準備（実施後）</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 xml:space="preserve">　</w:t>
            </w: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項目　　　　学生14人＋班員4人</w:t>
            </w:r>
            <w:r w:rsidR="00A22FD1">
              <w:rPr>
                <w:rFonts w:ascii="ＭＳ Ｐゴシック" w:eastAsia="ＭＳ Ｐゴシック" w:hAnsi="ＭＳ Ｐゴシック" w:cs="ＭＳ Ｐゴシック" w:hint="eastAsia"/>
                <w:color w:val="000000"/>
                <w:kern w:val="0"/>
                <w:sz w:val="22"/>
              </w:rPr>
              <w:t>(生徒)</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小平均</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大平均</w:t>
            </w: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①-1</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3.77</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3.65</w:t>
            </w: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①-2</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①-3</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3.82</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①-4</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3.50</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②-1</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3.38</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3.57</w:t>
            </w: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②-2</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3.64</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②-3</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4.09</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②-4</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3.30</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②-5</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3.41</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③-1</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3.70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3.98</w:t>
            </w: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③-2</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4.29</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③-3</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3.86</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③-4</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4.36</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③-5</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3.61</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③-6</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4.05</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④-1</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4.05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3.90</w:t>
            </w: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④-2</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3.61</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④-3</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4.32</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④-4</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3.61</w:t>
            </w:r>
          </w:p>
        </w:tc>
        <w:tc>
          <w:tcPr>
            <w:tcW w:w="1080" w:type="dxa"/>
            <w:vMerge/>
            <w:tcBorders>
              <w:top w:val="nil"/>
              <w:left w:val="single" w:sz="4" w:space="0" w:color="auto"/>
              <w:bottom w:val="single" w:sz="4" w:space="0" w:color="auto"/>
              <w:right w:val="single" w:sz="4" w:space="0" w:color="auto"/>
            </w:tcBorders>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p>
        </w:tc>
      </w:tr>
      <w:tr w:rsidR="00FA13F2" w:rsidRPr="00FA13F2" w:rsidTr="00FA13F2">
        <w:trPr>
          <w:trHeight w:val="27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FA13F2" w:rsidRPr="00FA13F2" w:rsidRDefault="00FA13F2" w:rsidP="00FA13F2">
            <w:pPr>
              <w:widowControl/>
              <w:jc w:val="lef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全体平均</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3.78</w:t>
            </w:r>
          </w:p>
        </w:tc>
        <w:tc>
          <w:tcPr>
            <w:tcW w:w="1080" w:type="dxa"/>
            <w:tcBorders>
              <w:top w:val="nil"/>
              <w:left w:val="nil"/>
              <w:bottom w:val="single" w:sz="4" w:space="0" w:color="auto"/>
              <w:right w:val="single" w:sz="4" w:space="0" w:color="auto"/>
            </w:tcBorders>
            <w:shd w:val="clear" w:color="auto" w:fill="auto"/>
            <w:noWrap/>
            <w:vAlign w:val="center"/>
            <w:hideMark/>
          </w:tcPr>
          <w:p w:rsidR="00FA13F2" w:rsidRPr="00FA13F2" w:rsidRDefault="00FA13F2" w:rsidP="00FA13F2">
            <w:pPr>
              <w:widowControl/>
              <w:jc w:val="right"/>
              <w:rPr>
                <w:rFonts w:ascii="ＭＳ Ｐゴシック" w:eastAsia="ＭＳ Ｐゴシック" w:hAnsi="ＭＳ Ｐゴシック" w:cs="ＭＳ Ｐゴシック"/>
                <w:color w:val="000000"/>
                <w:kern w:val="0"/>
                <w:sz w:val="22"/>
              </w:rPr>
            </w:pPr>
            <w:r w:rsidRPr="00FA13F2">
              <w:rPr>
                <w:rFonts w:ascii="ＭＳ Ｐゴシック" w:eastAsia="ＭＳ Ｐゴシック" w:hAnsi="ＭＳ Ｐゴシック" w:cs="ＭＳ Ｐゴシック" w:hint="eastAsia"/>
                <w:color w:val="000000"/>
                <w:kern w:val="0"/>
                <w:sz w:val="22"/>
              </w:rPr>
              <w:t>3.77</w:t>
            </w:r>
          </w:p>
        </w:tc>
      </w:tr>
    </w:tbl>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p>
    <w:p w:rsidR="00C56025" w:rsidRDefault="005E1B0C" w:rsidP="005B44B6">
      <w:pPr>
        <w:ind w:firstLineChars="100" w:firstLine="210"/>
        <w:jc w:val="left"/>
        <w:rPr>
          <w:szCs w:val="21"/>
        </w:rPr>
      </w:pPr>
      <w:r>
        <w:rPr>
          <w:noProof/>
        </w:rPr>
        <w:drawing>
          <wp:inline distT="0" distB="0" distL="0" distR="0" wp14:anchorId="486A10DB" wp14:editId="59B61A8A">
            <wp:extent cx="4572000" cy="2743200"/>
            <wp:effectExtent l="0" t="0" r="19050" b="1905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p>
    <w:p w:rsidR="00C56025" w:rsidRDefault="005E1B0C" w:rsidP="005B44B6">
      <w:pPr>
        <w:ind w:firstLineChars="100" w:firstLine="210"/>
        <w:jc w:val="left"/>
        <w:rPr>
          <w:szCs w:val="21"/>
        </w:rPr>
      </w:pPr>
      <w:r>
        <w:rPr>
          <w:noProof/>
        </w:rPr>
        <w:drawing>
          <wp:inline distT="0" distB="0" distL="0" distR="0" wp14:anchorId="20AF1F1B" wp14:editId="03731EF8">
            <wp:extent cx="4572000" cy="2743200"/>
            <wp:effectExtent l="0" t="0" r="19050" b="1905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p>
    <w:p w:rsidR="00C56025" w:rsidRDefault="00C56025" w:rsidP="005B44B6">
      <w:pPr>
        <w:ind w:firstLineChars="100" w:firstLine="210"/>
        <w:jc w:val="left"/>
        <w:rPr>
          <w:szCs w:val="21"/>
        </w:rPr>
      </w:pPr>
    </w:p>
    <w:p w:rsidR="00D54F7E" w:rsidRDefault="00D54F7E" w:rsidP="00C56025">
      <w:pPr>
        <w:jc w:val="left"/>
        <w:rPr>
          <w:szCs w:val="21"/>
        </w:rPr>
      </w:pPr>
    </w:p>
    <w:p w:rsidR="001B36DC" w:rsidRPr="00C56025" w:rsidRDefault="001B36DC" w:rsidP="00C56025">
      <w:pPr>
        <w:pStyle w:val="a3"/>
        <w:numPr>
          <w:ilvl w:val="0"/>
          <w:numId w:val="4"/>
        </w:numPr>
        <w:ind w:leftChars="0"/>
        <w:jc w:val="left"/>
        <w:rPr>
          <w:szCs w:val="21"/>
        </w:rPr>
      </w:pPr>
      <w:r w:rsidRPr="00C56025">
        <w:rPr>
          <w:rFonts w:hint="eastAsia"/>
          <w:szCs w:val="21"/>
        </w:rPr>
        <w:t>考察・反省</w:t>
      </w:r>
    </w:p>
    <w:p w:rsidR="001B36DC" w:rsidRDefault="001B36DC" w:rsidP="00726EAB">
      <w:pPr>
        <w:ind w:left="210" w:hangingChars="100" w:hanging="210"/>
        <w:jc w:val="left"/>
        <w:rPr>
          <w:szCs w:val="21"/>
        </w:rPr>
      </w:pPr>
      <w:r>
        <w:rPr>
          <w:rFonts w:hint="eastAsia"/>
          <w:szCs w:val="21"/>
        </w:rPr>
        <w:t xml:space="preserve">　・一番反省すべきところは、班の中で分担を決めた後、それぞれの担当</w:t>
      </w:r>
      <w:r w:rsidR="00726EAB">
        <w:rPr>
          <w:rFonts w:hint="eastAsia"/>
          <w:szCs w:val="21"/>
        </w:rPr>
        <w:t>の内容</w:t>
      </w:r>
      <w:r>
        <w:rPr>
          <w:rFonts w:hint="eastAsia"/>
          <w:szCs w:val="21"/>
        </w:rPr>
        <w:t>を</w:t>
      </w:r>
      <w:r w:rsidR="00726EAB">
        <w:rPr>
          <w:rFonts w:hint="eastAsia"/>
          <w:szCs w:val="21"/>
        </w:rPr>
        <w:t>他の班員の内容とリンクさせる必要があったが、そのためのコミュニケーションがとれていなかったところである。このコミュニケーションをとっていれば、意味をなさなかった授業プリントは、学習の大きな手助けになっただろうし、発展内容が難しすぎるということも避けられたはずである。</w:t>
      </w:r>
    </w:p>
    <w:p w:rsidR="00E840E3" w:rsidRDefault="00726EAB" w:rsidP="00E840E3">
      <w:pPr>
        <w:ind w:left="210" w:hangingChars="100" w:hanging="210"/>
        <w:jc w:val="left"/>
        <w:rPr>
          <w:szCs w:val="21"/>
        </w:rPr>
      </w:pPr>
      <w:r>
        <w:rPr>
          <w:rFonts w:hint="eastAsia"/>
          <w:szCs w:val="21"/>
        </w:rPr>
        <w:t xml:space="preserve">　・演示実験は素晴らしかった。海老崎先生からも、満点の評価をいただいた。これは、演示実験を行った者のやり方が良かったのは言うまでもないが、それまでに、どのような材料・装置が必要になるかを入念に事前に確認し準備し、実験も一度自分たちで行い要領を得ていたからである。</w:t>
      </w:r>
      <w:r w:rsidR="00E840E3">
        <w:rPr>
          <w:rFonts w:hint="eastAsia"/>
          <w:szCs w:val="21"/>
        </w:rPr>
        <w:t>事前準備の大切さを改めて実感できた。</w:t>
      </w:r>
    </w:p>
    <w:p w:rsidR="00E840E3" w:rsidRDefault="00E840E3" w:rsidP="00E840E3">
      <w:pPr>
        <w:ind w:left="210" w:hangingChars="100" w:hanging="210"/>
        <w:jc w:val="left"/>
        <w:rPr>
          <w:szCs w:val="21"/>
        </w:rPr>
      </w:pPr>
      <w:r>
        <w:rPr>
          <w:rFonts w:hint="eastAsia"/>
          <w:szCs w:val="21"/>
        </w:rPr>
        <w:t xml:space="preserve">　・</w:t>
      </w:r>
      <w:r w:rsidR="00E83214">
        <w:rPr>
          <w:rFonts w:hint="eastAsia"/>
          <w:szCs w:val="21"/>
        </w:rPr>
        <w:t>今回、「理科教育法Ⅰ」で学んだことを、単位が出た・出ていない、にかかわらず、頭に叩き込んでおき、今後教員になった際に活かせるように</w:t>
      </w:r>
      <w:r w:rsidR="00457D07">
        <w:rPr>
          <w:rFonts w:hint="eastAsia"/>
          <w:szCs w:val="21"/>
        </w:rPr>
        <w:t>しておく。</w:t>
      </w:r>
    </w:p>
    <w:p w:rsidR="00E840E3" w:rsidRDefault="00E840E3" w:rsidP="00E840E3">
      <w:pPr>
        <w:ind w:left="210" w:hangingChars="100" w:hanging="210"/>
        <w:jc w:val="left"/>
        <w:rPr>
          <w:szCs w:val="21"/>
        </w:rPr>
      </w:pPr>
    </w:p>
    <w:p w:rsidR="00E840E3" w:rsidRDefault="00E840E3" w:rsidP="00E840E3">
      <w:pPr>
        <w:ind w:left="210" w:hangingChars="100" w:hanging="210"/>
        <w:jc w:val="left"/>
        <w:rPr>
          <w:szCs w:val="21"/>
        </w:rPr>
      </w:pPr>
    </w:p>
    <w:p w:rsidR="00E840E3" w:rsidRDefault="00E840E3" w:rsidP="00E840E3">
      <w:pPr>
        <w:pStyle w:val="a3"/>
        <w:numPr>
          <w:ilvl w:val="0"/>
          <w:numId w:val="4"/>
        </w:numPr>
        <w:ind w:leftChars="0"/>
        <w:jc w:val="left"/>
        <w:rPr>
          <w:szCs w:val="21"/>
        </w:rPr>
      </w:pPr>
      <w:r w:rsidRPr="00E840E3">
        <w:rPr>
          <w:rFonts w:hint="eastAsia"/>
          <w:szCs w:val="21"/>
        </w:rPr>
        <w:t>謝辞</w:t>
      </w:r>
    </w:p>
    <w:p w:rsidR="00E840E3" w:rsidRPr="00E840E3" w:rsidRDefault="00E840E3" w:rsidP="00E840E3">
      <w:pPr>
        <w:jc w:val="left"/>
        <w:rPr>
          <w:szCs w:val="21"/>
        </w:rPr>
      </w:pPr>
      <w:r>
        <w:rPr>
          <w:rFonts w:hint="eastAsia"/>
          <w:szCs w:val="21"/>
        </w:rPr>
        <w:t xml:space="preserve">　理科教育法Ⅰの模擬授業を実施するにあたり、第二回模擬授業の「人口イクラ」においては石田昭人教授（京都府立大学生命環境学部・生命環境学研究科・応用生命科学専攻）</w:t>
      </w:r>
      <w:r w:rsidR="00E83214">
        <w:rPr>
          <w:rFonts w:hint="eastAsia"/>
          <w:szCs w:val="21"/>
        </w:rPr>
        <w:t>に</w:t>
      </w:r>
      <w:r>
        <w:rPr>
          <w:rFonts w:hint="eastAsia"/>
          <w:szCs w:val="21"/>
        </w:rPr>
        <w:t>、第三回模擬授業の「錬金術」においては椿一典教授（京都府立大学生命環境学部・生命環境学研究科・応用生命科学専攻）</w:t>
      </w:r>
      <w:r w:rsidR="00E83214">
        <w:rPr>
          <w:rFonts w:hint="eastAsia"/>
          <w:szCs w:val="21"/>
        </w:rPr>
        <w:t>に、</w:t>
      </w:r>
      <w:r>
        <w:rPr>
          <w:rFonts w:hint="eastAsia"/>
          <w:szCs w:val="21"/>
        </w:rPr>
        <w:t>貴重な</w:t>
      </w:r>
      <w:r w:rsidR="00E83214">
        <w:rPr>
          <w:rFonts w:hint="eastAsia"/>
          <w:szCs w:val="21"/>
        </w:rPr>
        <w:t>お時間を割いていただき、ご指導と実験材料の提供をしていただきました。班員一同、心よりお礼申し上げます。</w:t>
      </w:r>
    </w:p>
    <w:sectPr w:rsidR="00E840E3" w:rsidRPr="00E840E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6AF5" w:rsidRDefault="003A6AF5" w:rsidP="00957169">
      <w:r>
        <w:separator/>
      </w:r>
    </w:p>
  </w:endnote>
  <w:endnote w:type="continuationSeparator" w:id="0">
    <w:p w:rsidR="003A6AF5" w:rsidRDefault="003A6AF5" w:rsidP="00957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6AF5" w:rsidRDefault="003A6AF5" w:rsidP="00957169">
      <w:r>
        <w:separator/>
      </w:r>
    </w:p>
  </w:footnote>
  <w:footnote w:type="continuationSeparator" w:id="0">
    <w:p w:rsidR="003A6AF5" w:rsidRDefault="003A6AF5" w:rsidP="00957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238D"/>
    <w:multiLevelType w:val="hybridMultilevel"/>
    <w:tmpl w:val="13805D14"/>
    <w:lvl w:ilvl="0" w:tplc="C27A7190">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03297B"/>
    <w:multiLevelType w:val="hybridMultilevel"/>
    <w:tmpl w:val="87900AE6"/>
    <w:lvl w:ilvl="0" w:tplc="1C2883F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6358C5"/>
    <w:multiLevelType w:val="hybridMultilevel"/>
    <w:tmpl w:val="DF265492"/>
    <w:lvl w:ilvl="0" w:tplc="EAFC6DDE">
      <w:start w:val="1"/>
      <w:numFmt w:val="decimal"/>
      <w:lvlText w:val="%1．"/>
      <w:lvlJc w:val="left"/>
      <w:pPr>
        <w:ind w:left="360" w:hanging="360"/>
      </w:pPr>
      <w:rPr>
        <w:rFonts w:hint="default"/>
      </w:rPr>
    </w:lvl>
    <w:lvl w:ilvl="1" w:tplc="BF72F82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92E30A3"/>
    <w:multiLevelType w:val="hybridMultilevel"/>
    <w:tmpl w:val="853CE6C0"/>
    <w:lvl w:ilvl="0" w:tplc="98D25F40">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DCA"/>
    <w:rsid w:val="000B4256"/>
    <w:rsid w:val="0010625A"/>
    <w:rsid w:val="0019537B"/>
    <w:rsid w:val="001B36DC"/>
    <w:rsid w:val="001C4B21"/>
    <w:rsid w:val="00210BFE"/>
    <w:rsid w:val="00250B14"/>
    <w:rsid w:val="003A6AF5"/>
    <w:rsid w:val="004150C3"/>
    <w:rsid w:val="004325C5"/>
    <w:rsid w:val="00457D07"/>
    <w:rsid w:val="00521B32"/>
    <w:rsid w:val="005846F9"/>
    <w:rsid w:val="005B103F"/>
    <w:rsid w:val="005B3CDB"/>
    <w:rsid w:val="005B44B6"/>
    <w:rsid w:val="005E1B0C"/>
    <w:rsid w:val="006E6236"/>
    <w:rsid w:val="00726EAB"/>
    <w:rsid w:val="007A541F"/>
    <w:rsid w:val="007C29E0"/>
    <w:rsid w:val="008213C2"/>
    <w:rsid w:val="00895887"/>
    <w:rsid w:val="00896918"/>
    <w:rsid w:val="00957169"/>
    <w:rsid w:val="00967446"/>
    <w:rsid w:val="009C535D"/>
    <w:rsid w:val="009D04B0"/>
    <w:rsid w:val="009E0CBD"/>
    <w:rsid w:val="00A22FD1"/>
    <w:rsid w:val="00A73C26"/>
    <w:rsid w:val="00AB0266"/>
    <w:rsid w:val="00AB6DCA"/>
    <w:rsid w:val="00AF1B18"/>
    <w:rsid w:val="00BB097F"/>
    <w:rsid w:val="00BD5BC3"/>
    <w:rsid w:val="00C56025"/>
    <w:rsid w:val="00C914B2"/>
    <w:rsid w:val="00D54F7E"/>
    <w:rsid w:val="00DB19A9"/>
    <w:rsid w:val="00E01CA2"/>
    <w:rsid w:val="00E02597"/>
    <w:rsid w:val="00E74555"/>
    <w:rsid w:val="00E83214"/>
    <w:rsid w:val="00E840E3"/>
    <w:rsid w:val="00F47E5E"/>
    <w:rsid w:val="00FA13F2"/>
    <w:rsid w:val="00FD4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8C894B8-8E99-4AAA-A425-3786B1C45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6DCA"/>
    <w:pPr>
      <w:ind w:leftChars="400" w:left="840"/>
    </w:pPr>
  </w:style>
  <w:style w:type="paragraph" w:styleId="a4">
    <w:name w:val="No Spacing"/>
    <w:uiPriority w:val="1"/>
    <w:qFormat/>
    <w:rsid w:val="00BB097F"/>
    <w:pPr>
      <w:widowControl w:val="0"/>
      <w:jc w:val="both"/>
    </w:pPr>
  </w:style>
  <w:style w:type="paragraph" w:styleId="a5">
    <w:name w:val="header"/>
    <w:basedOn w:val="a"/>
    <w:link w:val="a6"/>
    <w:uiPriority w:val="99"/>
    <w:unhideWhenUsed/>
    <w:rsid w:val="00957169"/>
    <w:pPr>
      <w:tabs>
        <w:tab w:val="center" w:pos="4252"/>
        <w:tab w:val="right" w:pos="8504"/>
      </w:tabs>
      <w:snapToGrid w:val="0"/>
    </w:pPr>
  </w:style>
  <w:style w:type="character" w:customStyle="1" w:styleId="a6">
    <w:name w:val="ヘッダー (文字)"/>
    <w:basedOn w:val="a0"/>
    <w:link w:val="a5"/>
    <w:uiPriority w:val="99"/>
    <w:rsid w:val="00957169"/>
  </w:style>
  <w:style w:type="paragraph" w:styleId="a7">
    <w:name w:val="footer"/>
    <w:basedOn w:val="a"/>
    <w:link w:val="a8"/>
    <w:uiPriority w:val="99"/>
    <w:unhideWhenUsed/>
    <w:rsid w:val="00957169"/>
    <w:pPr>
      <w:tabs>
        <w:tab w:val="center" w:pos="4252"/>
        <w:tab w:val="right" w:pos="8504"/>
      </w:tabs>
      <w:snapToGrid w:val="0"/>
    </w:pPr>
  </w:style>
  <w:style w:type="character" w:customStyle="1" w:styleId="a8">
    <w:name w:val="フッター (文字)"/>
    <w:basedOn w:val="a0"/>
    <w:link w:val="a7"/>
    <w:uiPriority w:val="99"/>
    <w:rsid w:val="00957169"/>
  </w:style>
  <w:style w:type="paragraph" w:styleId="a9">
    <w:name w:val="Balloon Text"/>
    <w:basedOn w:val="a"/>
    <w:link w:val="aa"/>
    <w:uiPriority w:val="99"/>
    <w:semiHidden/>
    <w:unhideWhenUsed/>
    <w:rsid w:val="000B425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B425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13845">
      <w:bodyDiv w:val="1"/>
      <w:marLeft w:val="0"/>
      <w:marRight w:val="0"/>
      <w:marTop w:val="0"/>
      <w:marBottom w:val="0"/>
      <w:divBdr>
        <w:top w:val="none" w:sz="0" w:space="0" w:color="auto"/>
        <w:left w:val="none" w:sz="0" w:space="0" w:color="auto"/>
        <w:bottom w:val="none" w:sz="0" w:space="0" w:color="auto"/>
        <w:right w:val="none" w:sz="0" w:space="0" w:color="auto"/>
      </w:divBdr>
    </w:div>
    <w:div w:id="560215083">
      <w:bodyDiv w:val="1"/>
      <w:marLeft w:val="0"/>
      <w:marRight w:val="0"/>
      <w:marTop w:val="0"/>
      <w:marBottom w:val="0"/>
      <w:divBdr>
        <w:top w:val="none" w:sz="0" w:space="0" w:color="auto"/>
        <w:left w:val="none" w:sz="0" w:space="0" w:color="auto"/>
        <w:bottom w:val="none" w:sz="0" w:space="0" w:color="auto"/>
        <w:right w:val="none" w:sz="0" w:space="0" w:color="auto"/>
      </w:divBdr>
    </w:div>
    <w:div w:id="560871186">
      <w:bodyDiv w:val="1"/>
      <w:marLeft w:val="0"/>
      <w:marRight w:val="0"/>
      <w:marTop w:val="0"/>
      <w:marBottom w:val="0"/>
      <w:divBdr>
        <w:top w:val="none" w:sz="0" w:space="0" w:color="auto"/>
        <w:left w:val="none" w:sz="0" w:space="0" w:color="auto"/>
        <w:bottom w:val="none" w:sz="0" w:space="0" w:color="auto"/>
        <w:right w:val="none" w:sz="0" w:space="0" w:color="auto"/>
      </w:divBdr>
    </w:div>
    <w:div w:id="567886392">
      <w:bodyDiv w:val="1"/>
      <w:marLeft w:val="0"/>
      <w:marRight w:val="0"/>
      <w:marTop w:val="0"/>
      <w:marBottom w:val="0"/>
      <w:divBdr>
        <w:top w:val="none" w:sz="0" w:space="0" w:color="auto"/>
        <w:left w:val="none" w:sz="0" w:space="0" w:color="auto"/>
        <w:bottom w:val="none" w:sz="0" w:space="0" w:color="auto"/>
        <w:right w:val="none" w:sz="0" w:space="0" w:color="auto"/>
      </w:divBdr>
    </w:div>
    <w:div w:id="570695150">
      <w:bodyDiv w:val="1"/>
      <w:marLeft w:val="0"/>
      <w:marRight w:val="0"/>
      <w:marTop w:val="0"/>
      <w:marBottom w:val="0"/>
      <w:divBdr>
        <w:top w:val="none" w:sz="0" w:space="0" w:color="auto"/>
        <w:left w:val="none" w:sz="0" w:space="0" w:color="auto"/>
        <w:bottom w:val="none" w:sz="0" w:space="0" w:color="auto"/>
        <w:right w:val="none" w:sz="0" w:space="0" w:color="auto"/>
      </w:divBdr>
    </w:div>
    <w:div w:id="176024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授業評価　平均点</a:t>
            </a:r>
          </a:p>
        </c:rich>
      </c:tx>
      <c:overlay val="0"/>
    </c:title>
    <c:autoTitleDeleted val="0"/>
    <c:plotArea>
      <c:layout/>
      <c:lineChart>
        <c:grouping val="standard"/>
        <c:varyColors val="0"/>
        <c:ser>
          <c:idx val="1"/>
          <c:order val="1"/>
          <c:tx>
            <c:v>平均点</c:v>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Sheet1!$A$61:$A$63</c:f>
              <c:strCache>
                <c:ptCount val="3"/>
                <c:pt idx="0">
                  <c:v>時計反応</c:v>
                </c:pt>
                <c:pt idx="1">
                  <c:v>人口イクラ</c:v>
                </c:pt>
                <c:pt idx="2">
                  <c:v>錬金術</c:v>
                </c:pt>
              </c:strCache>
            </c:strRef>
          </c:cat>
          <c:val>
            <c:numRef>
              <c:f>Sheet1!$B$61:$B$63</c:f>
              <c:numCache>
                <c:formatCode>General</c:formatCode>
                <c:ptCount val="3"/>
                <c:pt idx="0">
                  <c:v>3.8</c:v>
                </c:pt>
                <c:pt idx="1">
                  <c:v>3.8</c:v>
                </c:pt>
                <c:pt idx="2">
                  <c:v>4.2</c:v>
                </c:pt>
              </c:numCache>
            </c:numRef>
          </c:val>
          <c:smooth val="0"/>
          <c:extLst>
            <c:ext xmlns:c16="http://schemas.microsoft.com/office/drawing/2014/chart" uri="{C3380CC4-5D6E-409C-BE32-E72D297353CC}">
              <c16:uniqueId val="{00000000-C012-415B-BAA4-D4ADCAE9AFCF}"/>
            </c:ext>
          </c:extLst>
        </c:ser>
        <c:ser>
          <c:idx val="0"/>
          <c:order val="0"/>
          <c:tx>
            <c:v>水平線</c:v>
          </c:tx>
          <c:spPr>
            <a:ln>
              <a:solidFill>
                <a:srgbClr val="FF0000"/>
              </a:solidFill>
            </a:ln>
          </c:spPr>
          <c:marker>
            <c:symbol val="none"/>
          </c:marker>
          <c:val>
            <c:numRef>
              <c:f>Sheet4!$I$27:$I$29</c:f>
              <c:numCache>
                <c:formatCode>0.00</c:formatCode>
                <c:ptCount val="3"/>
                <c:pt idx="0">
                  <c:v>3</c:v>
                </c:pt>
                <c:pt idx="1">
                  <c:v>3</c:v>
                </c:pt>
                <c:pt idx="2">
                  <c:v>3</c:v>
                </c:pt>
              </c:numCache>
            </c:numRef>
          </c:val>
          <c:smooth val="0"/>
          <c:extLst>
            <c:ext xmlns:c16="http://schemas.microsoft.com/office/drawing/2014/chart" uri="{C3380CC4-5D6E-409C-BE32-E72D297353CC}">
              <c16:uniqueId val="{00000001-C012-415B-BAA4-D4ADCAE9AFCF}"/>
            </c:ext>
          </c:extLst>
        </c:ser>
        <c:dLbls>
          <c:showLegendKey val="0"/>
          <c:showVal val="0"/>
          <c:showCatName val="0"/>
          <c:showSerName val="0"/>
          <c:showPercent val="0"/>
          <c:showBubbleSize val="0"/>
        </c:dLbls>
        <c:smooth val="0"/>
        <c:axId val="132306048"/>
        <c:axId val="132308352"/>
      </c:lineChart>
      <c:catAx>
        <c:axId val="132306048"/>
        <c:scaling>
          <c:orientation val="minMax"/>
        </c:scaling>
        <c:delete val="0"/>
        <c:axPos val="b"/>
        <c:numFmt formatCode="General" sourceLinked="0"/>
        <c:majorTickMark val="none"/>
        <c:minorTickMark val="none"/>
        <c:tickLblPos val="nextTo"/>
        <c:crossAx val="132308352"/>
        <c:crosses val="autoZero"/>
        <c:auto val="1"/>
        <c:lblAlgn val="ctr"/>
        <c:lblOffset val="100"/>
        <c:noMultiLvlLbl val="0"/>
      </c:catAx>
      <c:valAx>
        <c:axId val="132308352"/>
        <c:scaling>
          <c:orientation val="minMax"/>
          <c:max val="5"/>
          <c:min val="1"/>
        </c:scaling>
        <c:delete val="0"/>
        <c:axPos val="l"/>
        <c:majorGridlines/>
        <c:numFmt formatCode="General" sourceLinked="1"/>
        <c:majorTickMark val="none"/>
        <c:minorTickMark val="none"/>
        <c:tickLblPos val="nextTo"/>
        <c:spPr>
          <a:ln w="9525">
            <a:noFill/>
          </a:ln>
        </c:spPr>
        <c:crossAx val="132306048"/>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模擬授業の準備　事前</a:t>
            </a:r>
          </a:p>
        </c:rich>
      </c:tx>
      <c:overlay val="0"/>
    </c:title>
    <c:autoTitleDeleted val="0"/>
    <c:plotArea>
      <c:layout/>
      <c:lineChart>
        <c:grouping val="standard"/>
        <c:varyColors val="0"/>
        <c:ser>
          <c:idx val="2"/>
          <c:order val="1"/>
          <c:tx>
            <c:v>第一回</c:v>
          </c:tx>
          <c:spPr>
            <a:ln w="28575" cap="rnd">
              <a:solidFill>
                <a:srgbClr val="7030A0"/>
              </a:solidFill>
              <a:round/>
            </a:ln>
            <a:effectLst/>
          </c:spPr>
          <c:marker>
            <c:symbol val="none"/>
          </c:marker>
          <c:val>
            <c:numRef>
              <c:f>Sheet4!$C$4:$C$22</c:f>
              <c:numCache>
                <c:formatCode>0.00</c:formatCode>
                <c:ptCount val="19"/>
                <c:pt idx="0">
                  <c:v>3.75</c:v>
                </c:pt>
                <c:pt idx="1">
                  <c:v>3.75</c:v>
                </c:pt>
                <c:pt idx="2">
                  <c:v>3.75</c:v>
                </c:pt>
                <c:pt idx="3">
                  <c:v>3.75</c:v>
                </c:pt>
                <c:pt idx="4">
                  <c:v>3.75</c:v>
                </c:pt>
                <c:pt idx="5">
                  <c:v>3</c:v>
                </c:pt>
                <c:pt idx="6">
                  <c:v>3.75</c:v>
                </c:pt>
                <c:pt idx="7">
                  <c:v>3.75</c:v>
                </c:pt>
                <c:pt idx="8">
                  <c:v>3.75</c:v>
                </c:pt>
                <c:pt idx="9">
                  <c:v>2.75</c:v>
                </c:pt>
                <c:pt idx="10">
                  <c:v>3.5</c:v>
                </c:pt>
                <c:pt idx="11">
                  <c:v>3</c:v>
                </c:pt>
                <c:pt idx="12">
                  <c:v>3</c:v>
                </c:pt>
                <c:pt idx="13">
                  <c:v>3</c:v>
                </c:pt>
                <c:pt idx="14">
                  <c:v>3</c:v>
                </c:pt>
                <c:pt idx="15">
                  <c:v>2.75</c:v>
                </c:pt>
                <c:pt idx="16">
                  <c:v>3.75</c:v>
                </c:pt>
                <c:pt idx="17">
                  <c:v>3.5</c:v>
                </c:pt>
                <c:pt idx="18">
                  <c:v>3.25</c:v>
                </c:pt>
              </c:numCache>
            </c:numRef>
          </c:val>
          <c:smooth val="0"/>
          <c:extLst>
            <c:ext xmlns:c16="http://schemas.microsoft.com/office/drawing/2014/chart" uri="{C3380CC4-5D6E-409C-BE32-E72D297353CC}">
              <c16:uniqueId val="{00000000-DBB8-4A07-BFF8-2684C21755B3}"/>
            </c:ext>
          </c:extLst>
        </c:ser>
        <c:ser>
          <c:idx val="3"/>
          <c:order val="2"/>
          <c:tx>
            <c:v>第二回</c:v>
          </c:tx>
          <c:spPr>
            <a:ln w="28575" cap="rnd">
              <a:solidFill>
                <a:schemeClr val="accent3"/>
              </a:solidFill>
              <a:round/>
            </a:ln>
            <a:effectLst/>
          </c:spPr>
          <c:marker>
            <c:symbol val="none"/>
          </c:marker>
          <c:val>
            <c:numRef>
              <c:f>Sheet4!$D$4:$D$22</c:f>
              <c:numCache>
                <c:formatCode>0.00</c:formatCode>
                <c:ptCount val="19"/>
                <c:pt idx="0">
                  <c:v>3.8</c:v>
                </c:pt>
                <c:pt idx="1">
                  <c:v>4</c:v>
                </c:pt>
                <c:pt idx="2">
                  <c:v>4</c:v>
                </c:pt>
                <c:pt idx="3">
                  <c:v>3.8</c:v>
                </c:pt>
                <c:pt idx="4">
                  <c:v>3.3</c:v>
                </c:pt>
                <c:pt idx="5">
                  <c:v>3</c:v>
                </c:pt>
                <c:pt idx="6">
                  <c:v>4.3</c:v>
                </c:pt>
                <c:pt idx="7">
                  <c:v>3.5</c:v>
                </c:pt>
                <c:pt idx="8">
                  <c:v>3.8</c:v>
                </c:pt>
                <c:pt idx="9">
                  <c:v>3</c:v>
                </c:pt>
                <c:pt idx="10">
                  <c:v>4.5</c:v>
                </c:pt>
                <c:pt idx="11">
                  <c:v>3.3</c:v>
                </c:pt>
                <c:pt idx="12">
                  <c:v>4.5</c:v>
                </c:pt>
                <c:pt idx="13">
                  <c:v>3.5</c:v>
                </c:pt>
                <c:pt idx="14">
                  <c:v>2.8</c:v>
                </c:pt>
                <c:pt idx="15">
                  <c:v>4.3</c:v>
                </c:pt>
                <c:pt idx="16">
                  <c:v>3.8</c:v>
                </c:pt>
                <c:pt idx="17">
                  <c:v>4.5</c:v>
                </c:pt>
                <c:pt idx="18">
                  <c:v>4</c:v>
                </c:pt>
              </c:numCache>
            </c:numRef>
          </c:val>
          <c:smooth val="0"/>
          <c:extLst>
            <c:ext xmlns:c16="http://schemas.microsoft.com/office/drawing/2014/chart" uri="{C3380CC4-5D6E-409C-BE32-E72D297353CC}">
              <c16:uniqueId val="{00000001-DBB8-4A07-BFF8-2684C21755B3}"/>
            </c:ext>
          </c:extLst>
        </c:ser>
        <c:ser>
          <c:idx val="4"/>
          <c:order val="3"/>
          <c:tx>
            <c:v>第三回</c:v>
          </c:tx>
          <c:spPr>
            <a:ln w="28575" cap="rnd">
              <a:solidFill>
                <a:schemeClr val="accent1"/>
              </a:solidFill>
              <a:round/>
            </a:ln>
            <a:effectLst/>
          </c:spPr>
          <c:marker>
            <c:symbol val="none"/>
          </c:marker>
          <c:val>
            <c:numRef>
              <c:f>Sheet4!$E$4:$E$22</c:f>
              <c:numCache>
                <c:formatCode>0.00</c:formatCode>
                <c:ptCount val="19"/>
                <c:pt idx="0">
                  <c:v>3.75</c:v>
                </c:pt>
                <c:pt idx="1">
                  <c:v>3</c:v>
                </c:pt>
                <c:pt idx="2">
                  <c:v>3.5</c:v>
                </c:pt>
                <c:pt idx="3">
                  <c:v>3</c:v>
                </c:pt>
                <c:pt idx="4">
                  <c:v>3</c:v>
                </c:pt>
                <c:pt idx="5">
                  <c:v>3.5</c:v>
                </c:pt>
                <c:pt idx="6">
                  <c:v>3.75</c:v>
                </c:pt>
                <c:pt idx="7">
                  <c:v>2.75</c:v>
                </c:pt>
                <c:pt idx="8">
                  <c:v>2.75</c:v>
                </c:pt>
                <c:pt idx="9">
                  <c:v>3.25</c:v>
                </c:pt>
                <c:pt idx="10">
                  <c:v>4</c:v>
                </c:pt>
                <c:pt idx="11">
                  <c:v>3.5</c:v>
                </c:pt>
                <c:pt idx="12">
                  <c:v>4</c:v>
                </c:pt>
                <c:pt idx="13">
                  <c:v>3</c:v>
                </c:pt>
                <c:pt idx="14">
                  <c:v>3.25</c:v>
                </c:pt>
                <c:pt idx="15">
                  <c:v>3.75</c:v>
                </c:pt>
                <c:pt idx="16">
                  <c:v>3</c:v>
                </c:pt>
                <c:pt idx="17">
                  <c:v>4</c:v>
                </c:pt>
                <c:pt idx="18">
                  <c:v>3.5</c:v>
                </c:pt>
              </c:numCache>
            </c:numRef>
          </c:val>
          <c:smooth val="0"/>
          <c:extLst>
            <c:ext xmlns:c16="http://schemas.microsoft.com/office/drawing/2014/chart" uri="{C3380CC4-5D6E-409C-BE32-E72D297353CC}">
              <c16:uniqueId val="{00000002-DBB8-4A07-BFF8-2684C21755B3}"/>
            </c:ext>
          </c:extLst>
        </c:ser>
        <c:ser>
          <c:idx val="1"/>
          <c:order val="0"/>
          <c:tx>
            <c:v>水平線</c:v>
          </c:tx>
          <c:spPr>
            <a:ln>
              <a:solidFill>
                <a:srgbClr val="FF0000"/>
              </a:solidFill>
            </a:ln>
          </c:spPr>
          <c:marker>
            <c:symbol val="none"/>
          </c:marker>
          <c:val>
            <c:numRef>
              <c:f>Sheet4!$F$4:$F$22</c:f>
              <c:numCache>
                <c:formatCode>0.00</c:formatCode>
                <c:ptCount val="1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numCache>
            </c:numRef>
          </c:val>
          <c:smooth val="0"/>
          <c:extLst>
            <c:ext xmlns:c16="http://schemas.microsoft.com/office/drawing/2014/chart" uri="{C3380CC4-5D6E-409C-BE32-E72D297353CC}">
              <c16:uniqueId val="{00000003-DBB8-4A07-BFF8-2684C21755B3}"/>
            </c:ext>
          </c:extLst>
        </c:ser>
        <c:dLbls>
          <c:showLegendKey val="0"/>
          <c:showVal val="0"/>
          <c:showCatName val="0"/>
          <c:showSerName val="0"/>
          <c:showPercent val="0"/>
          <c:showBubbleSize val="0"/>
        </c:dLbls>
        <c:smooth val="0"/>
        <c:axId val="174704512"/>
        <c:axId val="183795712"/>
      </c:lineChart>
      <c:catAx>
        <c:axId val="174704512"/>
        <c:scaling>
          <c:orientation val="minMax"/>
        </c:scaling>
        <c:delete val="0"/>
        <c:axPos val="b"/>
        <c:majorTickMark val="none"/>
        <c:minorTickMark val="none"/>
        <c:tickLblPos val="nextTo"/>
        <c:crossAx val="183795712"/>
        <c:crosses val="autoZero"/>
        <c:auto val="1"/>
        <c:lblAlgn val="ctr"/>
        <c:lblOffset val="100"/>
        <c:noMultiLvlLbl val="0"/>
      </c:catAx>
      <c:valAx>
        <c:axId val="183795712"/>
        <c:scaling>
          <c:orientation val="minMax"/>
          <c:max val="5"/>
          <c:min val="1"/>
        </c:scaling>
        <c:delete val="0"/>
        <c:axPos val="l"/>
        <c:majorGridlines/>
        <c:numFmt formatCode="General" sourceLinked="0"/>
        <c:majorTickMark val="none"/>
        <c:minorTickMark val="none"/>
        <c:tickLblPos val="nextTo"/>
        <c:spPr>
          <a:ln w="9525">
            <a:noFill/>
          </a:ln>
        </c:spPr>
        <c:crossAx val="174704512"/>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模擬授業の準備　事前　総平均　</a:t>
            </a:r>
          </a:p>
        </c:rich>
      </c:tx>
      <c:overlay val="0"/>
    </c:title>
    <c:autoTitleDeleted val="0"/>
    <c:plotArea>
      <c:layout/>
      <c:lineChart>
        <c:grouping val="standard"/>
        <c:varyColors val="0"/>
        <c:ser>
          <c:idx val="1"/>
          <c:order val="1"/>
          <c:tx>
            <c:v>平均</c:v>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Sheet4!$C$23:$E$23</c:f>
              <c:numCache>
                <c:formatCode>0.00</c:formatCode>
                <c:ptCount val="3"/>
                <c:pt idx="0">
                  <c:v>3.3947368421052633</c:v>
                </c:pt>
                <c:pt idx="1">
                  <c:v>3.8</c:v>
                </c:pt>
                <c:pt idx="2">
                  <c:v>3.3815789473684212</c:v>
                </c:pt>
              </c:numCache>
            </c:numRef>
          </c:val>
          <c:smooth val="0"/>
          <c:extLst>
            <c:ext xmlns:c16="http://schemas.microsoft.com/office/drawing/2014/chart" uri="{C3380CC4-5D6E-409C-BE32-E72D297353CC}">
              <c16:uniqueId val="{00000000-8DC5-40A5-8642-53D46AAAEDB5}"/>
            </c:ext>
          </c:extLst>
        </c:ser>
        <c:ser>
          <c:idx val="0"/>
          <c:order val="0"/>
          <c:tx>
            <c:v>水平線</c:v>
          </c:tx>
          <c:spPr>
            <a:ln>
              <a:solidFill>
                <a:srgbClr val="FF0000"/>
              </a:solidFill>
            </a:ln>
          </c:spPr>
          <c:marker>
            <c:symbol val="none"/>
          </c:marker>
          <c:cat>
            <c:strRef>
              <c:f>Sheet4!$H$27:$H$29</c:f>
              <c:strCache>
                <c:ptCount val="3"/>
                <c:pt idx="0">
                  <c:v>時計反応</c:v>
                </c:pt>
                <c:pt idx="1">
                  <c:v>イクラ</c:v>
                </c:pt>
                <c:pt idx="2">
                  <c:v>錬金術</c:v>
                </c:pt>
              </c:strCache>
            </c:strRef>
          </c:cat>
          <c:val>
            <c:numRef>
              <c:f>Sheet4!$I$27:$I$29</c:f>
              <c:numCache>
                <c:formatCode>0.00</c:formatCode>
                <c:ptCount val="3"/>
                <c:pt idx="0">
                  <c:v>3</c:v>
                </c:pt>
                <c:pt idx="1">
                  <c:v>3</c:v>
                </c:pt>
                <c:pt idx="2">
                  <c:v>3</c:v>
                </c:pt>
              </c:numCache>
            </c:numRef>
          </c:val>
          <c:smooth val="0"/>
          <c:extLst>
            <c:ext xmlns:c16="http://schemas.microsoft.com/office/drawing/2014/chart" uri="{C3380CC4-5D6E-409C-BE32-E72D297353CC}">
              <c16:uniqueId val="{00000001-8DC5-40A5-8642-53D46AAAEDB5}"/>
            </c:ext>
          </c:extLst>
        </c:ser>
        <c:dLbls>
          <c:showLegendKey val="0"/>
          <c:showVal val="0"/>
          <c:showCatName val="0"/>
          <c:showSerName val="0"/>
          <c:showPercent val="0"/>
          <c:showBubbleSize val="0"/>
        </c:dLbls>
        <c:smooth val="0"/>
        <c:axId val="181797248"/>
        <c:axId val="181798784"/>
      </c:lineChart>
      <c:catAx>
        <c:axId val="181797248"/>
        <c:scaling>
          <c:orientation val="minMax"/>
        </c:scaling>
        <c:delete val="0"/>
        <c:axPos val="b"/>
        <c:majorTickMark val="none"/>
        <c:minorTickMark val="none"/>
        <c:tickLblPos val="nextTo"/>
        <c:crossAx val="181798784"/>
        <c:crosses val="autoZero"/>
        <c:auto val="1"/>
        <c:lblAlgn val="ctr"/>
        <c:lblOffset val="100"/>
        <c:noMultiLvlLbl val="0"/>
      </c:catAx>
      <c:valAx>
        <c:axId val="181798784"/>
        <c:scaling>
          <c:orientation val="minMax"/>
          <c:max val="5"/>
          <c:min val="1"/>
        </c:scaling>
        <c:delete val="0"/>
        <c:axPos val="l"/>
        <c:majorGridlines/>
        <c:numFmt formatCode="General" sourceLinked="0"/>
        <c:majorTickMark val="none"/>
        <c:minorTickMark val="none"/>
        <c:tickLblPos val="nextTo"/>
        <c:spPr>
          <a:ln w="9525">
            <a:noFill/>
          </a:ln>
        </c:spPr>
        <c:crossAx val="181797248"/>
        <c:crosses val="autoZero"/>
        <c:crossBetween val="between"/>
        <c:majorUnit val="1"/>
        <c:minorUnit val="1"/>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模擬授業の準備　事後</a:t>
            </a:r>
          </a:p>
        </c:rich>
      </c:tx>
      <c:overlay val="0"/>
    </c:title>
    <c:autoTitleDeleted val="0"/>
    <c:plotArea>
      <c:layout/>
      <c:lineChart>
        <c:grouping val="standard"/>
        <c:varyColors val="0"/>
        <c:ser>
          <c:idx val="1"/>
          <c:order val="1"/>
          <c:tx>
            <c:v>第一回　</c:v>
          </c:tx>
          <c:spPr>
            <a:ln w="28575" cap="rnd">
              <a:solidFill>
                <a:srgbClr val="7030A0"/>
              </a:solidFill>
              <a:round/>
            </a:ln>
            <a:effectLst/>
          </c:spPr>
          <c:marker>
            <c:symbol val="none"/>
          </c:marker>
          <c:val>
            <c:numRef>
              <c:f>Sheet4!$C$27:$C$45</c:f>
              <c:numCache>
                <c:formatCode>0.00</c:formatCode>
                <c:ptCount val="19"/>
                <c:pt idx="0">
                  <c:v>4</c:v>
                </c:pt>
                <c:pt idx="1">
                  <c:v>4.333333333333333</c:v>
                </c:pt>
                <c:pt idx="2">
                  <c:v>3.5</c:v>
                </c:pt>
                <c:pt idx="3">
                  <c:v>4</c:v>
                </c:pt>
                <c:pt idx="4">
                  <c:v>3</c:v>
                </c:pt>
                <c:pt idx="5">
                  <c:v>2.5</c:v>
                </c:pt>
                <c:pt idx="6">
                  <c:v>2.5</c:v>
                </c:pt>
                <c:pt idx="7">
                  <c:v>2.5</c:v>
                </c:pt>
                <c:pt idx="8">
                  <c:v>2.75</c:v>
                </c:pt>
                <c:pt idx="9">
                  <c:v>1.75</c:v>
                </c:pt>
                <c:pt idx="10">
                  <c:v>2</c:v>
                </c:pt>
                <c:pt idx="11">
                  <c:v>1.25</c:v>
                </c:pt>
                <c:pt idx="12">
                  <c:v>2.25</c:v>
                </c:pt>
                <c:pt idx="13">
                  <c:v>1.75</c:v>
                </c:pt>
                <c:pt idx="14">
                  <c:v>1.5</c:v>
                </c:pt>
                <c:pt idx="15">
                  <c:v>1.25</c:v>
                </c:pt>
                <c:pt idx="16">
                  <c:v>3.5</c:v>
                </c:pt>
                <c:pt idx="17">
                  <c:v>2.75</c:v>
                </c:pt>
                <c:pt idx="18">
                  <c:v>2.5</c:v>
                </c:pt>
              </c:numCache>
            </c:numRef>
          </c:val>
          <c:smooth val="0"/>
          <c:extLst>
            <c:ext xmlns:c16="http://schemas.microsoft.com/office/drawing/2014/chart" uri="{C3380CC4-5D6E-409C-BE32-E72D297353CC}">
              <c16:uniqueId val="{00000000-B8ED-4D57-8D7C-50FBCCD2E1A0}"/>
            </c:ext>
          </c:extLst>
        </c:ser>
        <c:ser>
          <c:idx val="2"/>
          <c:order val="2"/>
          <c:tx>
            <c:v>第二回</c:v>
          </c:tx>
          <c:spPr>
            <a:ln w="28575" cap="rnd">
              <a:solidFill>
                <a:schemeClr val="accent3"/>
              </a:solidFill>
              <a:round/>
            </a:ln>
            <a:effectLst/>
          </c:spPr>
          <c:marker>
            <c:symbol val="none"/>
          </c:marker>
          <c:val>
            <c:numRef>
              <c:f>Sheet4!$D$27:$D$45</c:f>
              <c:numCache>
                <c:formatCode>0.00</c:formatCode>
                <c:ptCount val="19"/>
                <c:pt idx="0">
                  <c:v>2.8</c:v>
                </c:pt>
                <c:pt idx="1">
                  <c:v>3.5</c:v>
                </c:pt>
                <c:pt idx="2">
                  <c:v>3.3</c:v>
                </c:pt>
                <c:pt idx="3">
                  <c:v>3</c:v>
                </c:pt>
                <c:pt idx="4">
                  <c:v>3.8</c:v>
                </c:pt>
                <c:pt idx="5">
                  <c:v>2.8</c:v>
                </c:pt>
                <c:pt idx="6">
                  <c:v>4.8</c:v>
                </c:pt>
                <c:pt idx="7">
                  <c:v>3</c:v>
                </c:pt>
                <c:pt idx="8">
                  <c:v>3.3</c:v>
                </c:pt>
                <c:pt idx="9">
                  <c:v>3</c:v>
                </c:pt>
                <c:pt idx="10">
                  <c:v>4.3</c:v>
                </c:pt>
                <c:pt idx="11">
                  <c:v>3</c:v>
                </c:pt>
                <c:pt idx="12">
                  <c:v>4</c:v>
                </c:pt>
                <c:pt idx="13">
                  <c:v>3.3</c:v>
                </c:pt>
                <c:pt idx="14">
                  <c:v>2.2999999999999998</c:v>
                </c:pt>
                <c:pt idx="15">
                  <c:v>3.8</c:v>
                </c:pt>
                <c:pt idx="16">
                  <c:v>3</c:v>
                </c:pt>
                <c:pt idx="17">
                  <c:v>4.8</c:v>
                </c:pt>
                <c:pt idx="18">
                  <c:v>3.3</c:v>
                </c:pt>
              </c:numCache>
            </c:numRef>
          </c:val>
          <c:smooth val="0"/>
          <c:extLst>
            <c:ext xmlns:c16="http://schemas.microsoft.com/office/drawing/2014/chart" uri="{C3380CC4-5D6E-409C-BE32-E72D297353CC}">
              <c16:uniqueId val="{00000001-B8ED-4D57-8D7C-50FBCCD2E1A0}"/>
            </c:ext>
          </c:extLst>
        </c:ser>
        <c:ser>
          <c:idx val="3"/>
          <c:order val="3"/>
          <c:tx>
            <c:v>第三回</c:v>
          </c:tx>
          <c:spPr>
            <a:ln w="28575" cap="rnd">
              <a:solidFill>
                <a:schemeClr val="accent1"/>
              </a:solidFill>
              <a:round/>
            </a:ln>
            <a:effectLst/>
          </c:spPr>
          <c:marker>
            <c:symbol val="none"/>
          </c:marker>
          <c:val>
            <c:numRef>
              <c:f>Sheet4!$E$27:$E$45</c:f>
              <c:numCache>
                <c:formatCode>0.00</c:formatCode>
                <c:ptCount val="19"/>
                <c:pt idx="0">
                  <c:v>3</c:v>
                </c:pt>
                <c:pt idx="1">
                  <c:v>3.25</c:v>
                </c:pt>
                <c:pt idx="2">
                  <c:v>3</c:v>
                </c:pt>
                <c:pt idx="3">
                  <c:v>2.75</c:v>
                </c:pt>
                <c:pt idx="4">
                  <c:v>3.5</c:v>
                </c:pt>
                <c:pt idx="5">
                  <c:v>2</c:v>
                </c:pt>
                <c:pt idx="6">
                  <c:v>2.5</c:v>
                </c:pt>
                <c:pt idx="7">
                  <c:v>2.75</c:v>
                </c:pt>
                <c:pt idx="8">
                  <c:v>2.5</c:v>
                </c:pt>
                <c:pt idx="9">
                  <c:v>3.75</c:v>
                </c:pt>
                <c:pt idx="10">
                  <c:v>4</c:v>
                </c:pt>
                <c:pt idx="11">
                  <c:v>3.75</c:v>
                </c:pt>
                <c:pt idx="12">
                  <c:v>4.25</c:v>
                </c:pt>
                <c:pt idx="13">
                  <c:v>3.25</c:v>
                </c:pt>
                <c:pt idx="14">
                  <c:v>3.5</c:v>
                </c:pt>
                <c:pt idx="15">
                  <c:v>3.75</c:v>
                </c:pt>
                <c:pt idx="16">
                  <c:v>3</c:v>
                </c:pt>
                <c:pt idx="17">
                  <c:v>4.25</c:v>
                </c:pt>
                <c:pt idx="18">
                  <c:v>3.25</c:v>
                </c:pt>
              </c:numCache>
            </c:numRef>
          </c:val>
          <c:smooth val="0"/>
          <c:extLst>
            <c:ext xmlns:c16="http://schemas.microsoft.com/office/drawing/2014/chart" uri="{C3380CC4-5D6E-409C-BE32-E72D297353CC}">
              <c16:uniqueId val="{00000002-B8ED-4D57-8D7C-50FBCCD2E1A0}"/>
            </c:ext>
          </c:extLst>
        </c:ser>
        <c:ser>
          <c:idx val="0"/>
          <c:order val="0"/>
          <c:tx>
            <c:v>水平線</c:v>
          </c:tx>
          <c:spPr>
            <a:ln>
              <a:solidFill>
                <a:srgbClr val="FF0000"/>
              </a:solidFill>
            </a:ln>
          </c:spPr>
          <c:marker>
            <c:symbol val="none"/>
          </c:marker>
          <c:val>
            <c:numRef>
              <c:f>Sheet4!$F$4:$F$22</c:f>
              <c:numCache>
                <c:formatCode>0.00</c:formatCode>
                <c:ptCount val="1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numCache>
            </c:numRef>
          </c:val>
          <c:smooth val="0"/>
          <c:extLst>
            <c:ext xmlns:c16="http://schemas.microsoft.com/office/drawing/2014/chart" uri="{C3380CC4-5D6E-409C-BE32-E72D297353CC}">
              <c16:uniqueId val="{00000003-B8ED-4D57-8D7C-50FBCCD2E1A0}"/>
            </c:ext>
          </c:extLst>
        </c:ser>
        <c:dLbls>
          <c:showLegendKey val="0"/>
          <c:showVal val="0"/>
          <c:showCatName val="0"/>
          <c:showSerName val="0"/>
          <c:showPercent val="0"/>
          <c:showBubbleSize val="0"/>
        </c:dLbls>
        <c:smooth val="0"/>
        <c:axId val="182520832"/>
        <c:axId val="183567104"/>
      </c:lineChart>
      <c:catAx>
        <c:axId val="182520832"/>
        <c:scaling>
          <c:orientation val="minMax"/>
        </c:scaling>
        <c:delete val="0"/>
        <c:axPos val="b"/>
        <c:majorTickMark val="none"/>
        <c:minorTickMark val="none"/>
        <c:tickLblPos val="nextTo"/>
        <c:crossAx val="183567104"/>
        <c:crosses val="autoZero"/>
        <c:auto val="1"/>
        <c:lblAlgn val="ctr"/>
        <c:lblOffset val="100"/>
        <c:noMultiLvlLbl val="0"/>
      </c:catAx>
      <c:valAx>
        <c:axId val="183567104"/>
        <c:scaling>
          <c:orientation val="minMax"/>
          <c:max val="5"/>
          <c:min val="1"/>
        </c:scaling>
        <c:delete val="0"/>
        <c:axPos val="l"/>
        <c:majorGridlines/>
        <c:numFmt formatCode="General" sourceLinked="0"/>
        <c:majorTickMark val="none"/>
        <c:minorTickMark val="none"/>
        <c:tickLblPos val="nextTo"/>
        <c:spPr>
          <a:ln w="9525">
            <a:noFill/>
          </a:ln>
        </c:spPr>
        <c:crossAx val="182520832"/>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模擬授業の準備　事後　総平均　</a:t>
            </a:r>
          </a:p>
        </c:rich>
      </c:tx>
      <c:overlay val="0"/>
    </c:title>
    <c:autoTitleDeleted val="0"/>
    <c:plotArea>
      <c:layout/>
      <c:lineChart>
        <c:grouping val="standard"/>
        <c:varyColors val="0"/>
        <c:ser>
          <c:idx val="1"/>
          <c:order val="1"/>
          <c:tx>
            <c:v>平均</c:v>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Sheet4!$C$46:$E$46</c:f>
              <c:numCache>
                <c:formatCode>0.00</c:formatCode>
                <c:ptCount val="3"/>
                <c:pt idx="0">
                  <c:v>2.6096491228070171</c:v>
                </c:pt>
                <c:pt idx="1">
                  <c:v>3.4</c:v>
                </c:pt>
                <c:pt idx="2">
                  <c:v>3.263157894736842</c:v>
                </c:pt>
              </c:numCache>
            </c:numRef>
          </c:val>
          <c:smooth val="0"/>
          <c:extLst>
            <c:ext xmlns:c16="http://schemas.microsoft.com/office/drawing/2014/chart" uri="{C3380CC4-5D6E-409C-BE32-E72D297353CC}">
              <c16:uniqueId val="{00000000-62C3-4AAA-8827-2707392B3B9B}"/>
            </c:ext>
          </c:extLst>
        </c:ser>
        <c:ser>
          <c:idx val="0"/>
          <c:order val="0"/>
          <c:tx>
            <c:v>水平線</c:v>
          </c:tx>
          <c:spPr>
            <a:ln>
              <a:solidFill>
                <a:srgbClr val="FF0000"/>
              </a:solidFill>
            </a:ln>
          </c:spPr>
          <c:marker>
            <c:symbol val="none"/>
          </c:marker>
          <c:cat>
            <c:strRef>
              <c:f>Sheet4!$H$27:$H$29</c:f>
              <c:strCache>
                <c:ptCount val="3"/>
                <c:pt idx="0">
                  <c:v>時計反応</c:v>
                </c:pt>
                <c:pt idx="1">
                  <c:v>イクラ</c:v>
                </c:pt>
                <c:pt idx="2">
                  <c:v>錬金術</c:v>
                </c:pt>
              </c:strCache>
            </c:strRef>
          </c:cat>
          <c:val>
            <c:numRef>
              <c:f>Sheet4!$I$27:$I$29</c:f>
              <c:numCache>
                <c:formatCode>0.00</c:formatCode>
                <c:ptCount val="3"/>
                <c:pt idx="0">
                  <c:v>3</c:v>
                </c:pt>
                <c:pt idx="1">
                  <c:v>3</c:v>
                </c:pt>
                <c:pt idx="2">
                  <c:v>3</c:v>
                </c:pt>
              </c:numCache>
            </c:numRef>
          </c:val>
          <c:smooth val="0"/>
          <c:extLst>
            <c:ext xmlns:c16="http://schemas.microsoft.com/office/drawing/2014/chart" uri="{C3380CC4-5D6E-409C-BE32-E72D297353CC}">
              <c16:uniqueId val="{00000001-62C3-4AAA-8827-2707392B3B9B}"/>
            </c:ext>
          </c:extLst>
        </c:ser>
        <c:dLbls>
          <c:showLegendKey val="0"/>
          <c:showVal val="0"/>
          <c:showCatName val="0"/>
          <c:showSerName val="0"/>
          <c:showPercent val="0"/>
          <c:showBubbleSize val="0"/>
        </c:dLbls>
        <c:smooth val="0"/>
        <c:axId val="182483584"/>
        <c:axId val="201551872"/>
      </c:lineChart>
      <c:catAx>
        <c:axId val="182483584"/>
        <c:scaling>
          <c:orientation val="minMax"/>
        </c:scaling>
        <c:delete val="0"/>
        <c:axPos val="b"/>
        <c:majorTickMark val="none"/>
        <c:minorTickMark val="none"/>
        <c:tickLblPos val="nextTo"/>
        <c:crossAx val="201551872"/>
        <c:crosses val="autoZero"/>
        <c:auto val="1"/>
        <c:lblAlgn val="ctr"/>
        <c:lblOffset val="100"/>
        <c:noMultiLvlLbl val="0"/>
      </c:catAx>
      <c:valAx>
        <c:axId val="201551872"/>
        <c:scaling>
          <c:orientation val="minMax"/>
          <c:max val="5"/>
          <c:min val="1"/>
        </c:scaling>
        <c:delete val="0"/>
        <c:axPos val="l"/>
        <c:majorGridlines/>
        <c:numFmt formatCode="General" sourceLinked="0"/>
        <c:majorTickMark val="none"/>
        <c:minorTickMark val="none"/>
        <c:tickLblPos val="nextTo"/>
        <c:spPr>
          <a:ln w="9525">
            <a:noFill/>
          </a:ln>
        </c:spPr>
        <c:crossAx val="182483584"/>
        <c:crosses val="autoZero"/>
        <c:crossBetween val="between"/>
        <c:majorUnit val="1"/>
        <c:minorUnit val="1"/>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模擬授業の準備　事後</a:t>
            </a:r>
          </a:p>
        </c:rich>
      </c:tx>
      <c:overlay val="0"/>
    </c:title>
    <c:autoTitleDeleted val="0"/>
    <c:plotArea>
      <c:layout/>
      <c:lineChart>
        <c:grouping val="standard"/>
        <c:varyColors val="0"/>
        <c:ser>
          <c:idx val="1"/>
          <c:order val="1"/>
          <c:tx>
            <c:v>第二回</c:v>
          </c:tx>
          <c:spPr>
            <a:ln>
              <a:solidFill>
                <a:schemeClr val="accent3"/>
              </a:solidFill>
            </a:ln>
          </c:spPr>
          <c:marker>
            <c:symbol val="none"/>
          </c:marker>
          <c:val>
            <c:numRef>
              <c:f>Sheet1!$AC$73:$AC$91</c:f>
              <c:numCache>
                <c:formatCode>0.00</c:formatCode>
                <c:ptCount val="19"/>
                <c:pt idx="0">
                  <c:v>3.3</c:v>
                </c:pt>
                <c:pt idx="1">
                  <c:v>3.35</c:v>
                </c:pt>
                <c:pt idx="2">
                  <c:v>3.25</c:v>
                </c:pt>
                <c:pt idx="3">
                  <c:v>3.3</c:v>
                </c:pt>
                <c:pt idx="4">
                  <c:v>3.65</c:v>
                </c:pt>
                <c:pt idx="5">
                  <c:v>3.1</c:v>
                </c:pt>
                <c:pt idx="6">
                  <c:v>4.3</c:v>
                </c:pt>
                <c:pt idx="7">
                  <c:v>3.15</c:v>
                </c:pt>
                <c:pt idx="8">
                  <c:v>3.35</c:v>
                </c:pt>
                <c:pt idx="9">
                  <c:v>3.3</c:v>
                </c:pt>
                <c:pt idx="10">
                  <c:v>3.55</c:v>
                </c:pt>
                <c:pt idx="11">
                  <c:v>2.95</c:v>
                </c:pt>
                <c:pt idx="12">
                  <c:v>4</c:v>
                </c:pt>
                <c:pt idx="13">
                  <c:v>3.6</c:v>
                </c:pt>
                <c:pt idx="14">
                  <c:v>2.6</c:v>
                </c:pt>
                <c:pt idx="15">
                  <c:v>3.65</c:v>
                </c:pt>
                <c:pt idx="16">
                  <c:v>3.5</c:v>
                </c:pt>
                <c:pt idx="17">
                  <c:v>4.3499999999999996</c:v>
                </c:pt>
                <c:pt idx="18">
                  <c:v>3.7</c:v>
                </c:pt>
              </c:numCache>
            </c:numRef>
          </c:val>
          <c:smooth val="0"/>
          <c:extLst>
            <c:ext xmlns:c16="http://schemas.microsoft.com/office/drawing/2014/chart" uri="{C3380CC4-5D6E-409C-BE32-E72D297353CC}">
              <c16:uniqueId val="{00000000-CA9D-45E8-8725-4A6D59E4F37E}"/>
            </c:ext>
          </c:extLst>
        </c:ser>
        <c:ser>
          <c:idx val="2"/>
          <c:order val="2"/>
          <c:tx>
            <c:v>第三回</c:v>
          </c:tx>
          <c:spPr>
            <a:ln>
              <a:solidFill>
                <a:schemeClr val="accent1"/>
              </a:solidFill>
            </a:ln>
          </c:spPr>
          <c:marker>
            <c:symbol val="none"/>
          </c:marker>
          <c:val>
            <c:numRef>
              <c:f>Sheet1!$AC$52:$AC$70</c:f>
              <c:numCache>
                <c:formatCode>0.00</c:formatCode>
                <c:ptCount val="19"/>
                <c:pt idx="0">
                  <c:v>3.7678571428571428</c:v>
                </c:pt>
                <c:pt idx="1">
                  <c:v>3.5</c:v>
                </c:pt>
                <c:pt idx="2">
                  <c:v>3.8214285714285716</c:v>
                </c:pt>
                <c:pt idx="3">
                  <c:v>3.5</c:v>
                </c:pt>
                <c:pt idx="4">
                  <c:v>3.3846153846153846</c:v>
                </c:pt>
                <c:pt idx="5">
                  <c:v>3.6428571428571428</c:v>
                </c:pt>
                <c:pt idx="6">
                  <c:v>4.0892857142857144</c:v>
                </c:pt>
                <c:pt idx="7">
                  <c:v>3.3035714285714288</c:v>
                </c:pt>
                <c:pt idx="8">
                  <c:v>3.4107142857142856</c:v>
                </c:pt>
                <c:pt idx="9">
                  <c:v>3.6964285714285716</c:v>
                </c:pt>
                <c:pt idx="10">
                  <c:v>4.2857142857142856</c:v>
                </c:pt>
                <c:pt idx="11">
                  <c:v>3.8571428571428572</c:v>
                </c:pt>
                <c:pt idx="12">
                  <c:v>4.3571428571428577</c:v>
                </c:pt>
                <c:pt idx="13">
                  <c:v>3.6071428571428572</c:v>
                </c:pt>
                <c:pt idx="14">
                  <c:v>4.0535714285714288</c:v>
                </c:pt>
                <c:pt idx="15">
                  <c:v>4.0535714285714288</c:v>
                </c:pt>
                <c:pt idx="16">
                  <c:v>3.6071428571428572</c:v>
                </c:pt>
                <c:pt idx="17">
                  <c:v>4.3214285714285712</c:v>
                </c:pt>
                <c:pt idx="18">
                  <c:v>3.6071428571428572</c:v>
                </c:pt>
              </c:numCache>
            </c:numRef>
          </c:val>
          <c:smooth val="0"/>
          <c:extLst>
            <c:ext xmlns:c16="http://schemas.microsoft.com/office/drawing/2014/chart" uri="{C3380CC4-5D6E-409C-BE32-E72D297353CC}">
              <c16:uniqueId val="{00000001-CA9D-45E8-8725-4A6D59E4F37E}"/>
            </c:ext>
          </c:extLst>
        </c:ser>
        <c:ser>
          <c:idx val="0"/>
          <c:order val="0"/>
          <c:tx>
            <c:v>水平線</c:v>
          </c:tx>
          <c:spPr>
            <a:ln>
              <a:solidFill>
                <a:srgbClr val="FF0000"/>
              </a:solidFill>
            </a:ln>
          </c:spPr>
          <c:marker>
            <c:symbol val="none"/>
          </c:marker>
          <c:val>
            <c:numRef>
              <c:f>Sheet4!$F$4:$F$22</c:f>
              <c:numCache>
                <c:formatCode>0.00</c:formatCode>
                <c:ptCount val="1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numCache>
            </c:numRef>
          </c:val>
          <c:smooth val="0"/>
          <c:extLst>
            <c:ext xmlns:c16="http://schemas.microsoft.com/office/drawing/2014/chart" uri="{C3380CC4-5D6E-409C-BE32-E72D297353CC}">
              <c16:uniqueId val="{00000002-CA9D-45E8-8725-4A6D59E4F37E}"/>
            </c:ext>
          </c:extLst>
        </c:ser>
        <c:dLbls>
          <c:showLegendKey val="0"/>
          <c:showVal val="0"/>
          <c:showCatName val="0"/>
          <c:showSerName val="0"/>
          <c:showPercent val="0"/>
          <c:showBubbleSize val="0"/>
        </c:dLbls>
        <c:smooth val="0"/>
        <c:axId val="182340224"/>
        <c:axId val="215169280"/>
      </c:lineChart>
      <c:catAx>
        <c:axId val="182340224"/>
        <c:scaling>
          <c:orientation val="minMax"/>
        </c:scaling>
        <c:delete val="0"/>
        <c:axPos val="b"/>
        <c:majorTickMark val="none"/>
        <c:minorTickMark val="none"/>
        <c:tickLblPos val="nextTo"/>
        <c:crossAx val="215169280"/>
        <c:crosses val="autoZero"/>
        <c:auto val="1"/>
        <c:lblAlgn val="ctr"/>
        <c:lblOffset val="100"/>
        <c:noMultiLvlLbl val="0"/>
      </c:catAx>
      <c:valAx>
        <c:axId val="215169280"/>
        <c:scaling>
          <c:orientation val="minMax"/>
          <c:max val="5"/>
          <c:min val="1"/>
        </c:scaling>
        <c:delete val="0"/>
        <c:axPos val="l"/>
        <c:majorGridlines/>
        <c:numFmt formatCode="General" sourceLinked="0"/>
        <c:majorTickMark val="none"/>
        <c:minorTickMark val="none"/>
        <c:tickLblPos val="nextTo"/>
        <c:spPr>
          <a:ln w="9525">
            <a:noFill/>
          </a:ln>
        </c:spPr>
        <c:crossAx val="182340224"/>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模擬授業の準備　事後　総平均</a:t>
            </a:r>
            <a:endParaRPr lang="en-US" altLang="ja-JP"/>
          </a:p>
        </c:rich>
      </c:tx>
      <c:overlay val="0"/>
    </c:title>
    <c:autoTitleDeleted val="0"/>
    <c:plotArea>
      <c:layout/>
      <c:lineChart>
        <c:grouping val="standard"/>
        <c:varyColors val="0"/>
        <c:ser>
          <c:idx val="1"/>
          <c:order val="1"/>
          <c:tx>
            <c:v>平均値</c:v>
          </c:tx>
          <c:spPr>
            <a:ln>
              <a:solidFill>
                <a:schemeClr val="accent1"/>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Sheet3!$C$31:$C$33</c:f>
              <c:strCache>
                <c:ptCount val="3"/>
                <c:pt idx="0">
                  <c:v>時計反応</c:v>
                </c:pt>
                <c:pt idx="1">
                  <c:v>イクラ</c:v>
                </c:pt>
                <c:pt idx="2">
                  <c:v>錬金術</c:v>
                </c:pt>
              </c:strCache>
            </c:strRef>
          </c:cat>
          <c:val>
            <c:numRef>
              <c:f>Sheet3!$D$31:$D$33</c:f>
              <c:numCache>
                <c:formatCode>0.00</c:formatCode>
                <c:ptCount val="3"/>
                <c:pt idx="0">
                  <c:v>3.4</c:v>
                </c:pt>
                <c:pt idx="1">
                  <c:v>3.55</c:v>
                </c:pt>
                <c:pt idx="2">
                  <c:v>3.78</c:v>
                </c:pt>
              </c:numCache>
            </c:numRef>
          </c:val>
          <c:smooth val="0"/>
          <c:extLst>
            <c:ext xmlns:c16="http://schemas.microsoft.com/office/drawing/2014/chart" uri="{C3380CC4-5D6E-409C-BE32-E72D297353CC}">
              <c16:uniqueId val="{00000000-0877-4A4A-86C5-990358212C0C}"/>
            </c:ext>
          </c:extLst>
        </c:ser>
        <c:ser>
          <c:idx val="0"/>
          <c:order val="0"/>
          <c:tx>
            <c:v>水平線</c:v>
          </c:tx>
          <c:spPr>
            <a:ln>
              <a:solidFill>
                <a:srgbClr val="FF0000"/>
              </a:solidFill>
            </a:ln>
          </c:spPr>
          <c:marker>
            <c:symbol val="none"/>
          </c:marker>
          <c:cat>
            <c:strRef>
              <c:f>Sheet4!$H$27:$H$29</c:f>
              <c:strCache>
                <c:ptCount val="3"/>
                <c:pt idx="0">
                  <c:v>時計反応</c:v>
                </c:pt>
                <c:pt idx="1">
                  <c:v>イクラ</c:v>
                </c:pt>
                <c:pt idx="2">
                  <c:v>錬金術</c:v>
                </c:pt>
              </c:strCache>
            </c:strRef>
          </c:cat>
          <c:val>
            <c:numRef>
              <c:f>Sheet4!$I$27:$I$29</c:f>
              <c:numCache>
                <c:formatCode>0.00</c:formatCode>
                <c:ptCount val="3"/>
                <c:pt idx="0">
                  <c:v>3</c:v>
                </c:pt>
                <c:pt idx="1">
                  <c:v>3</c:v>
                </c:pt>
                <c:pt idx="2">
                  <c:v>3</c:v>
                </c:pt>
              </c:numCache>
            </c:numRef>
          </c:val>
          <c:smooth val="0"/>
          <c:extLst>
            <c:ext xmlns:c16="http://schemas.microsoft.com/office/drawing/2014/chart" uri="{C3380CC4-5D6E-409C-BE32-E72D297353CC}">
              <c16:uniqueId val="{00000001-0877-4A4A-86C5-990358212C0C}"/>
            </c:ext>
          </c:extLst>
        </c:ser>
        <c:dLbls>
          <c:showLegendKey val="0"/>
          <c:showVal val="0"/>
          <c:showCatName val="0"/>
          <c:showSerName val="0"/>
          <c:showPercent val="0"/>
          <c:showBubbleSize val="0"/>
        </c:dLbls>
        <c:smooth val="0"/>
        <c:axId val="210813696"/>
        <c:axId val="210815232"/>
      </c:lineChart>
      <c:catAx>
        <c:axId val="210813696"/>
        <c:scaling>
          <c:orientation val="minMax"/>
        </c:scaling>
        <c:delete val="0"/>
        <c:axPos val="b"/>
        <c:numFmt formatCode="General" sourceLinked="0"/>
        <c:majorTickMark val="none"/>
        <c:minorTickMark val="none"/>
        <c:tickLblPos val="nextTo"/>
        <c:crossAx val="210815232"/>
        <c:crosses val="autoZero"/>
        <c:auto val="1"/>
        <c:lblAlgn val="ctr"/>
        <c:lblOffset val="100"/>
        <c:noMultiLvlLbl val="0"/>
      </c:catAx>
      <c:valAx>
        <c:axId val="210815232"/>
        <c:scaling>
          <c:orientation val="minMax"/>
          <c:max val="5"/>
          <c:min val="1"/>
        </c:scaling>
        <c:delete val="0"/>
        <c:axPos val="l"/>
        <c:majorGridlines/>
        <c:numFmt formatCode="General" sourceLinked="0"/>
        <c:majorTickMark val="none"/>
        <c:minorTickMark val="none"/>
        <c:tickLblPos val="nextTo"/>
        <c:spPr>
          <a:ln w="9525">
            <a:noFill/>
          </a:ln>
        </c:spPr>
        <c:crossAx val="210813696"/>
        <c:crosses val="autoZero"/>
        <c:crossBetween val="between"/>
        <c:majorUnit val="1"/>
        <c:minorUnit val="1"/>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9DAB4-39F5-4934-8269-4CD43642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606</Words>
  <Characters>3460</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京都府立大学</dc:creator>
  <cp:lastModifiedBy>川村康文</cp:lastModifiedBy>
  <cp:revision>4</cp:revision>
  <dcterms:created xsi:type="dcterms:W3CDTF">2015-07-31T09:57:00Z</dcterms:created>
  <dcterms:modified xsi:type="dcterms:W3CDTF">2021-11-21T04:27:00Z</dcterms:modified>
</cp:coreProperties>
</file>